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20, 03100 Frosinone (FR), P.IVA [●], PEC [●], in persona del legale rappresentante pro tempore [●]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 Ragione sociale]</w:t>
      </w:r>
      <w:r>
        <w:t xml:space="preserve">, con sede legale in [●], P.IVA [●], C.F. [●], PEC [●], in persona del legale rappresentante pro tempore [●]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Intesi Group S.p.A., con sede in Milano, Via Torino 48, P.IVA 02780480964 (di seguito "</w:t>
      </w:r>
      <w:r>
        <w:rPr>
          <w:b/>
          <w:bCs/>
        </w:rPr>
        <w:t xml:space="preserve">Intesi Group</w:t>
      </w:r>
      <w:r>
        <w:t xml:space="preserve">" o il "</w:t>
      </w:r>
      <w:r>
        <w:rPr>
          <w:b/>
          <w:bCs/>
        </w:rPr>
        <w:t xml:space="preserve">Conservatore</w:t>
      </w:r>
      <w:r>
        <w:t xml:space="preserve">"), è un prestatore di servizi fiduciari qualificati che eroga il servizio di conservazione digitale a norma descritto nel proprio Manuale del Sistema di Conservazione;</w:t>
      </w:r>
    </w:p>
    <w:p>
      <w:pPr>
        <w:pStyle w:val="ListParagraph"/>
        <w:numPr>
          <w:ilvl w:val="0"/>
          <w:numId w:val="2"/>
        </w:numPr>
        <w:spacing w:after="80" w:line="276"/>
        <w:jc w:val="both"/>
      </w:pPr>
      <w:r>
        <w:t xml:space="preserve">WST ha stipulato con Intesi Group un contratto (rif. WST2601) che le consente di versare nel sistema di conservazione di Intesi Group i documenti dei propri clienti, operando come Produttore dei Pacchetti di Versamento;</w:t>
      </w:r>
    </w:p>
    <w:p>
      <w:pPr>
        <w:pStyle w:val="ListParagraph"/>
        <w:numPr>
          <w:ilvl w:val="0"/>
          <w:numId w:val="2"/>
        </w:numPr>
        <w:spacing w:after="80" w:line="276"/>
        <w:jc w:val="both"/>
      </w:pPr>
      <w:r>
        <w:t xml:space="preserve">il Cliente intende affidare a WST la gestione del versamento dei propri documenti nel sistema di conservazione di Intesi Group,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Titolare dei documenti</w:t>
            </w:r>
          </w:p>
        </w:tc>
        <w:tc>
          <w:tcPr>
            <w:tcW w:type="dxa" w:w="6361"/>
            <w:tcMar>
              <w:top w:type="dxa" w:w="35"/>
              <w:left w:type="dxa" w:w="100"/>
              <w:bottom w:type="dxa" w:w="35"/>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Produttore dei PdV</w:t>
            </w:r>
          </w:p>
        </w:tc>
        <w:tc>
          <w:tcPr>
            <w:tcW w:type="dxa" w:w="6361"/>
            <w:tcMar>
              <w:top w:type="dxa" w:w="35"/>
              <w:left w:type="dxa" w:w="100"/>
              <w:bottom w:type="dxa" w:w="35"/>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Conservatore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Intesi Group, che gestisce il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PdV / PdA / PdD</w:t>
            </w:r>
          </w:p>
        </w:tc>
        <w:tc>
          <w:tcPr>
            <w:tcW w:type="dxa" w:w="6361"/>
            <w:tcMar>
              <w:top w:type="dxa" w:w="35"/>
              <w:left w:type="dxa" w:w="100"/>
              <w:bottom w:type="dxa" w:w="35"/>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Hash</w:t>
            </w:r>
          </w:p>
        </w:tc>
        <w:tc>
          <w:tcPr>
            <w:tcW w:type="dxa" w:w="6361"/>
            <w:tcMar>
              <w:top w:type="dxa" w:w="35"/>
              <w:left w:type="dxa" w:w="100"/>
              <w:bottom w:type="dxa" w:w="35"/>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Anagrafica</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Periodo di versamento</w:t>
            </w:r>
          </w:p>
        </w:tc>
        <w:tc>
          <w:tcPr>
            <w:tcW w:type="dxa" w:w="6361"/>
            <w:tcMar>
              <w:top w:type="dxa" w:w="35"/>
              <w:left w:type="dxa" w:w="100"/>
              <w:bottom w:type="dxa" w:w="35"/>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Periodo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periodo, indicato nell'Allegato A per ogni tipologia documentale, in cui i documenti restano conservati. Può durare oltre il Contratto.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Anno solare di versamento</w:t>
            </w:r>
          </w:p>
        </w:tc>
        <w:tc>
          <w:tcPr>
            <w:tcW w:type="dxa" w:w="6361"/>
            <w:tcMar>
              <w:top w:type="dxa" w:w="35"/>
              <w:left w:type="dxa" w:w="100"/>
              <w:bottom w:type="dxa" w:w="35"/>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Manuale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Manuale del Sistema di Conservazione di Intesi Group, pubblicato su https://www.intesigroup.com/it/qtsp/documenti/</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documenti informatici indicati nell'Allegato A (il "</w:t>
      </w:r>
      <w:r>
        <w:rPr>
          <w:b/>
          <w:bCs/>
        </w:rPr>
        <w:t xml:space="preserve">Servizio</w:t>
      </w:r>
      <w:r>
        <w:t xml:space="preserve">").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preparazione e il versamento dei PdV, manualmente tramite portale o in automatico tramite API;</w:t>
      </w:r>
    </w:p>
    <w:p>
      <w:pPr>
        <w:pStyle w:val="ListParagraph"/>
        <w:numPr>
          <w:ilvl w:val="0"/>
          <w:numId w:val="3"/>
        </w:numPr>
        <w:spacing w:after="80" w:line="276"/>
        <w:jc w:val="both"/>
      </w:pPr>
      <w:r>
        <w:t xml:space="preserve">l'accesso del Cliente al portale di esibizione per consultare e scaricare i documenti conservati;</w:t>
      </w:r>
    </w:p>
    <w:p>
      <w:pPr>
        <w:pStyle w:val="ListParagraph"/>
        <w:numPr>
          <w:ilvl w:val="0"/>
          <w:numId w:val="3"/>
        </w:numPr>
        <w:spacing w:after="80" w:line="276"/>
        <w:jc w:val="both"/>
      </w:pPr>
      <w:r>
        <w:t xml:space="preserve">l'assistenza di primo livello descritta all'art. 8.</w:t>
      </w:r>
    </w:p>
    <w:p>
      <w:pPr>
        <w:spacing w:after="120" w:line="276"/>
        <w:jc w:val="both"/>
      </w:pPr>
      <w:r>
        <w:rPr>
          <w:b/>
          <w:bCs/>
          <w:color w:val="1F3A5F"/>
        </w:rPr>
        <w:t xml:space="preserve">2.2  </w:t>
      </w:r>
      <w:r>
        <w:t xml:space="preserve">Il processo di conservazione è eseguito da Intesi Group,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 Intesi Group</w:t>
      </w:r>
      <w:r>
        <w:t xml:space="preserve">, e per essa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indicare per ogni tipologia documentale un Periodo di conservazione non inferiore a quello previsto dalla legge. La scelta del periodo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custodire le credenziali di accesso al portale e rispondere del loro uso;</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eseguire accessi non autorizzati, test di sicurezza o carichi anomali sul portale o sul Sistema di Conservazione.</w:t>
      </w:r>
    </w:p>
    <w:p>
      <w:pPr>
        <w:keepNext/>
        <w:pBdr>
          <w:bottom w:val="single" w:color="6599CD" w:sz="6" w:space="2"/>
        </w:pBdr>
        <w:spacing w:after="120" w:before="280"/>
      </w:pPr>
      <w:r>
        <w:rPr>
          <w:b/>
          <w:bCs/>
          <w:color w:val="1F3A5F"/>
          <w:sz w:val="22"/>
          <w:szCs w:val="22"/>
        </w:rPr>
        <w:t xml:space="preserve">Art. 4 – Obblighi di WST</w:t>
      </w:r>
    </w:p>
    <w:p>
      <w:pPr>
        <w:keepNext w:val="false"/>
        <w:keepLines w:val="false"/>
        <w:spacing w:after="120" w:line="276"/>
        <w:jc w:val="both"/>
      </w:pPr>
      <w:r>
        <w:t xml:space="preserve">WST si impegna a:</w:t>
      </w:r>
    </w:p>
    <w:p>
      <w:pPr>
        <w:pStyle w:val="ListParagraph"/>
        <w:numPr>
          <w:ilvl w:val="0"/>
          <w:numId w:val="6"/>
        </w:numPr>
        <w:spacing w:after="80" w:line="276"/>
        <w:jc w:val="both"/>
      </w:pPr>
      <w:r>
        <w:t xml:space="preserve">attivare il Servizio entro [●]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senza ingiustificato ritardo, i rifiuti di PdV e le anomalie segnalate dal Conservatore;</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 anno].</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punti 6 e 7.</w:t>
      </w:r>
    </w:p>
    <w:p>
      <w:pPr>
        <w:spacing w:after="120" w:line="276"/>
        <w:jc w:val="both"/>
      </w:pPr>
      <w:r>
        <w:rPr>
          <w:b/>
          <w:bCs/>
          <w:color w:val="1F3A5F"/>
        </w:rPr>
        <w:t xml:space="preserve">5.5  </w:t>
      </w:r>
      <w:r>
        <w:t xml:space="preserve">Se cessa per qualsiasi motivo il contratto tra WST e Intesi Group, WST può recedere con comunicazione via PEC e preavviso di almeno 60 giorni, salvo tempi più brevi imposti dal Conservatore. In tal caso WST propone al Cliente un conservatore alternativo o il subentro diretto del Cliente nei rapporti con Intesi Group.</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Il canone di conservazione è calcolato sui GB versati in ciascun anno solare, arrotondati per eccesso al GB intero. Copre l'intero Periodo di conservazione dei documenti versati in quell'anno, anche dopo la cessazione del Contratto.</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Attivazione</w:t>
            </w:r>
          </w:p>
        </w:tc>
        <w:tc>
          <w:tcPr>
            <w:tcW w:type="dxa" w:w="6361"/>
            <w:tcMar>
              <w:top w:type="dxa" w:w="35"/>
              <w:left w:type="dxa" w:w="100"/>
              <w:bottom w:type="dxa" w:w="35"/>
              <w:right w:type="dxa" w:w="100"/>
            </w:tcMar>
            <w:vAlign w:val="center"/>
          </w:tcPr>
          <w:p>
            <w:pPr>
              <w:spacing w:after="0" w:before="0"/>
            </w:pPr>
            <w:r>
              <w:rPr>
                <w:sz w:val="19"/>
                <w:szCs w:val="19"/>
              </w:rPr>
              <w:t xml:space="preserve">Alla firma del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Anticipato, sui GB stimati nell'Allegato A; conguaglio a fine anno sui GB effettivi</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Canone anagrafica</w:t>
            </w:r>
          </w:p>
        </w:tc>
        <w:tc>
          <w:tcPr>
            <w:tcW w:type="dxa" w:w="6361"/>
            <w:tcMar>
              <w:top w:type="dxa" w:w="35"/>
              <w:left w:type="dxa" w:w="100"/>
              <w:bottom w:type="dxa" w:w="35"/>
              <w:right w:type="dxa" w:w="100"/>
            </w:tcMar>
            <w:vAlign w:val="center"/>
          </w:tcPr>
          <w:p>
            <w:pPr>
              <w:spacing w:after="0" w:before="0"/>
            </w:pPr>
            <w:r>
              <w:rPr>
                <w:sz w:val="19"/>
                <w:szCs w:val="19"/>
              </w:rPr>
              <w:t xml:space="preserve">Anticipato, a inizio di ogni anno solare (primo anno: alla firma)</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All'esecuzione di ogni richiesta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Attività extra</w:t>
            </w:r>
          </w:p>
        </w:tc>
        <w:tc>
          <w:tcPr>
            <w:tcW w:type="dxa" w:w="6361"/>
            <w:tcMar>
              <w:top w:type="dxa" w:w="35"/>
              <w:left w:type="dxa" w:w="100"/>
              <w:bottom w:type="dxa" w:w="35"/>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 giorni dalla data della fattura. In caso di ritardo si applicano gli interessi di mora previsti dal D.Lgs. 231/2002. Dopo 15 giorni di ritardo, e previo sollecito via PEC, WST può sospendere i nuovi versamenti. La consultazione dei documenti già conservati non viene mai sospesa.</w:t>
      </w:r>
    </w:p>
    <w:p>
      <w:pPr>
        <w:spacing w:after="120" w:line="276"/>
        <w:jc w:val="both"/>
      </w:pPr>
      <w:r>
        <w:rPr>
          <w:b/>
          <w:bCs/>
          <w:color w:val="1F3A5F"/>
        </w:rPr>
        <w:t xml:space="preserve">6.5  </w:t>
      </w:r>
      <w:r>
        <w:t xml:space="preserve">I prezzi restano fissi fino al 31 dicembre [● anno].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Se i GB versati superano quelli fatturati in anticipo, WST fattura l'eccedenza alla fine di ogni mese.</w:t>
      </w:r>
    </w:p>
    <w:p>
      <w:pPr>
        <w:spacing w:after="120" w:line="276"/>
        <w:jc w:val="both"/>
      </w:pPr>
      <w:r>
        <w:rPr>
          <w:b/>
          <w:bCs/>
          <w:color w:val="1F3A5F"/>
        </w:rPr>
        <w:t xml:space="preserve">6.7  </w:t>
      </w:r>
      <w:r>
        <w:t xml:space="preserve">Il canone di conservazione e il canone anagrafica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documento versato a marzo 2027 con periodo di 10 anni è conservato fino al 31 dicembre 2037.</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al prezzo del canone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al numero di documenti,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 e telefono [●].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1 – Urgente</w:t>
            </w:r>
          </w:p>
        </w:tc>
        <w:tc>
          <w:tcPr>
            <w:tcW w:type="dxa" w:w="3638"/>
            <w:tcMar>
              <w:top w:type="dxa" w:w="35"/>
              <w:left w:type="dxa" w:w="100"/>
              <w:bottom w:type="dxa" w:w="35"/>
              <w:right w:type="dxa" w:w="100"/>
            </w:tcMar>
            <w:vAlign w:val="center"/>
          </w:tcPr>
          <w:p>
            <w:pPr>
              <w:spacing w:after="0" w:before="0"/>
            </w:pPr>
            <w:r>
              <w:rPr>
                <w:sz w:val="19"/>
                <w:szCs w:val="19"/>
              </w:rPr>
              <w:t xml:space="preserve">Versamento o consultazione impossibili</w:t>
            </w:r>
          </w:p>
        </w:tc>
        <w:tc>
          <w:tcPr>
            <w:tcW w:type="dxa" w:w="1800"/>
            <w:tcMar>
              <w:top w:type="dxa" w:w="35"/>
              <w:left w:type="dxa" w:w="100"/>
              <w:bottom w:type="dxa" w:w="35"/>
              <w:right w:type="dxa" w:w="100"/>
            </w:tcMar>
            <w:vAlign w:val="center"/>
          </w:tcPr>
          <w:p>
            <w:pPr>
              <w:spacing w:after="0" w:before="0"/>
            </w:pPr>
            <w:r>
              <w:rPr>
                <w:sz w:val="19"/>
                <w:szCs w:val="19"/>
              </w:rPr>
              <w:t xml:space="preserve">4</w:t>
            </w:r>
          </w:p>
        </w:tc>
        <w:tc>
          <w:tcPr>
            <w:tcW w:type="dxa" w:w="1800"/>
            <w:tcMar>
              <w:top w:type="dxa" w:w="35"/>
              <w:left w:type="dxa" w:w="100"/>
              <w:bottom w:type="dxa" w:w="35"/>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2 – Alta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8</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3 – Media</w:t>
            </w:r>
          </w:p>
        </w:tc>
        <w:tc>
          <w:tcPr>
            <w:tcW w:type="dxa" w:w="3638"/>
            <w:tcMar>
              <w:top w:type="dxa" w:w="35"/>
              <w:left w:type="dxa" w:w="100"/>
              <w:bottom w:type="dxa" w:w="35"/>
              <w:right w:type="dxa" w:w="100"/>
            </w:tcMar>
            <w:vAlign w:val="center"/>
          </w:tcPr>
          <w:p>
            <w:pPr>
              <w:spacing w:after="0" w:before="0"/>
            </w:pPr>
            <w:r>
              <w:rPr>
                <w:sz w:val="19"/>
                <w:szCs w:val="19"/>
              </w:rPr>
              <w:t xml:space="preserve">Problema con soluzione alternativa</w:t>
            </w:r>
          </w:p>
        </w:tc>
        <w:tc>
          <w:tcPr>
            <w:tcW w:type="dxa" w:w="1800"/>
            <w:tcMar>
              <w:top w:type="dxa" w:w="35"/>
              <w:left w:type="dxa" w:w="100"/>
              <w:bottom w:type="dxa" w:w="35"/>
              <w:right w:type="dxa" w:w="100"/>
            </w:tcMar>
            <w:vAlign w:val="center"/>
          </w:tcPr>
          <w:p>
            <w:pPr>
              <w:spacing w:after="0" w:before="0"/>
            </w:pPr>
            <w:r>
              <w:rPr>
                <w:sz w:val="19"/>
                <w:szCs w:val="19"/>
              </w:rPr>
              <w:t xml:space="preserve">12</w:t>
            </w:r>
          </w:p>
        </w:tc>
        <w:tc>
          <w:tcPr>
            <w:tcW w:type="dxa" w:w="1800"/>
            <w:tcMar>
              <w:top w:type="dxa" w:w="35"/>
              <w:left w:type="dxa" w:w="100"/>
              <w:bottom w:type="dxa" w:w="35"/>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4 – Bassa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uso improprio delle credenziali o del portale;</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di Intesi Group come sub-responsabile del trattamento, e dei sub-responsabili di Intesi Group pubblicati su https://www.intesigroup.com/it/dpa/. WST impone a Intesi Group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senza ulteriori costi di canone.</w:t>
      </w:r>
    </w:p>
    <w:p>
      <w:pPr>
        <w:spacing w:after="120" w:line="276"/>
        <w:jc w:val="both"/>
      </w:pPr>
      <w:r>
        <w:rPr>
          <w:b/>
          <w:bCs/>
          <w:color w:val="1F3A5F"/>
        </w:rPr>
        <w:t xml:space="preserve">11.3  </w:t>
      </w:r>
      <w:r>
        <w:rPr>
          <w:b/>
          <w:bCs/>
        </w:rPr>
        <w:t xml:space="preserve">Modalità ridotta.</w:t>
      </w:r>
      <w:r>
        <w:t xml:space="preserve"> Il Cliente può chiedere via PEC, almeno 60 giorni prima della cessazione, di continuare a consultare i documenti tramite il portale. La modalità ridotta consente solo la consultazione ed è fatturata secondo l'Allegato B. Senza richiesta, l'accesso al portale cessa con il Contratto.</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Alla cessazione WST cancella le copie di lavoro dei documenti e dei dati del Cliente in suo possesso,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di Intesi Group,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tramite il portale di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r>
        <w:br w:type="page"/>
      </w:r>
    </w:p>
    <w:p>
      <w:pPr>
        <w:keepNext/>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Valore</w:t>
            </w: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Ragione sociale / P.IVA / C.F.</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Sede (indirizzo, CAP, città, provincia, Stato)</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PEC</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Responsabile della conservazione (nome, e-mail, cellulare)</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Referente tecnico (nome, e-mail, cellulare)</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Volume stimato (GB/anno)</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Periodicità di versamento (giornaliera, mensile, …)</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Modalità di versamento (portale / API REST)</w:t>
            </w:r>
          </w:p>
        </w:tc>
        <w:tc>
          <w:tcPr>
            <w:tcW w:type="dxa" w:w="6361"/>
            <w:shd w:fill="EAF1F9" w:color="auto" w:val="clear"/>
            <w:tcMar>
              <w:top w:type="dxa" w:w="35"/>
              <w:left w:type="dxa" w:w="100"/>
              <w:bottom w:type="dxa" w:w="35"/>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concordato non può essere inferiore a quello previsto dalla legge.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Fatture elettroniche attive</w:t>
            </w:r>
          </w:p>
        </w:tc>
        <w:tc>
          <w:tcPr>
            <w:tcW w:type="dxa" w:w="3638"/>
            <w:tcMar>
              <w:top w:type="dxa" w:w="35"/>
              <w:left w:type="dxa" w:w="100"/>
              <w:bottom w:type="dxa" w:w="35"/>
              <w:right w:type="dxa" w:w="100"/>
            </w:tcMar>
            <w:vAlign w:val="center"/>
          </w:tcPr>
          <w:p>
            <w:pPr>
              <w:spacing w:after="0" w:before="0"/>
            </w:pPr>
            <w:r>
              <w:rPr>
                <w:sz w:val="19"/>
                <w:szCs w:val="19"/>
              </w:rPr>
              <w:t xml:space="preserve">xml, p7m</w:t>
            </w:r>
          </w:p>
        </w:tc>
        <w:tc>
          <w:tcPr>
            <w:tcW w:type="dxa" w:w="1800"/>
            <w:tcMar>
              <w:top w:type="dxa" w:w="35"/>
              <w:left w:type="dxa" w:w="100"/>
              <w:bottom w:type="dxa" w:w="35"/>
              <w:right w:type="dxa" w:w="100"/>
            </w:tcMar>
            <w:vAlign w:val="center"/>
          </w:tcPr>
          <w:p>
            <w:pPr>
              <w:spacing w:after="0" w:before="0"/>
            </w:pPr>
          </w:p>
        </w:tc>
        <w:tc>
          <w:tcPr>
            <w:tcW w:type="dxa" w:w="1800"/>
            <w:tcMar>
              <w:top w:type="dxa" w:w="35"/>
              <w:left w:type="dxa" w:w="100"/>
              <w:bottom w:type="dxa" w:w="35"/>
              <w:right w:type="dxa" w:w="100"/>
            </w:tcMar>
            <w:vAlign w:val="center"/>
          </w:tcPr>
          <w:p>
            <w:pPr>
              <w:spacing w:after="0" w:before="0"/>
            </w:pP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Fatture elettroniche passive</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xml, p7m</w:t>
            </w:r>
          </w:p>
        </w:tc>
        <w:tc>
          <w:tcPr>
            <w:tcW w:type="dxa" w:w="1800"/>
            <w:shd w:fill="EAF1F9" w:color="auto" w:val="clear"/>
            <w:tcMar>
              <w:top w:type="dxa" w:w="35"/>
              <w:left w:type="dxa" w:w="100"/>
              <w:bottom w:type="dxa" w:w="35"/>
              <w:right w:type="dxa" w:w="100"/>
            </w:tcMar>
            <w:vAlign w:val="center"/>
          </w:tcPr>
          <w:p>
            <w:pPr>
              <w:spacing w:after="0" w:before="0"/>
            </w:pPr>
          </w:p>
        </w:tc>
        <w:tc>
          <w:tcPr>
            <w:tcW w:type="dxa" w:w="1800"/>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Libri e registri fiscali</w:t>
            </w:r>
          </w:p>
        </w:tc>
        <w:tc>
          <w:tcPr>
            <w:tcW w:type="dxa" w:w="3638"/>
            <w:tcMar>
              <w:top w:type="dxa" w:w="35"/>
              <w:left w:type="dxa" w:w="100"/>
              <w:bottom w:type="dxa" w:w="35"/>
              <w:right w:type="dxa" w:w="100"/>
            </w:tcMar>
            <w:vAlign w:val="center"/>
          </w:tcPr>
          <w:p>
            <w:pPr>
              <w:spacing w:after="0" w:before="0"/>
            </w:pPr>
            <w:r>
              <w:rPr>
                <w:sz w:val="19"/>
                <w:szCs w:val="19"/>
              </w:rPr>
              <w:t xml:space="preserve">pdf, p7m</w:t>
            </w:r>
          </w:p>
        </w:tc>
        <w:tc>
          <w:tcPr>
            <w:tcW w:type="dxa" w:w="1800"/>
            <w:tcMar>
              <w:top w:type="dxa" w:w="35"/>
              <w:left w:type="dxa" w:w="100"/>
              <w:bottom w:type="dxa" w:w="35"/>
              <w:right w:type="dxa" w:w="100"/>
            </w:tcMar>
            <w:vAlign w:val="center"/>
          </w:tcPr>
          <w:p>
            <w:pPr>
              <w:spacing w:after="0" w:before="0"/>
            </w:pPr>
          </w:p>
        </w:tc>
        <w:tc>
          <w:tcPr>
            <w:tcW w:type="dxa" w:w="1800"/>
            <w:tcMar>
              <w:top w:type="dxa" w:w="35"/>
              <w:left w:type="dxa" w:w="100"/>
              <w:bottom w:type="dxa" w:w="35"/>
              <w:right w:type="dxa" w:w="100"/>
            </w:tcMar>
            <w:vAlign w:val="center"/>
          </w:tcPr>
          <w:p>
            <w:pPr>
              <w:spacing w:after="0" w:before="0"/>
            </w:pP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Contratti / Ordini</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pdf, p7m</w:t>
            </w:r>
          </w:p>
        </w:tc>
        <w:tc>
          <w:tcPr>
            <w:tcW w:type="dxa" w:w="1800"/>
            <w:shd w:fill="EAF1F9" w:color="auto" w:val="clear"/>
            <w:tcMar>
              <w:top w:type="dxa" w:w="35"/>
              <w:left w:type="dxa" w:w="100"/>
              <w:bottom w:type="dxa" w:w="35"/>
              <w:right w:type="dxa" w:w="100"/>
            </w:tcMar>
            <w:vAlign w:val="center"/>
          </w:tcPr>
          <w:p>
            <w:pPr>
              <w:spacing w:after="0" w:before="0"/>
            </w:pPr>
          </w:p>
        </w:tc>
        <w:tc>
          <w:tcPr>
            <w:tcW w:type="dxa" w:w="1800"/>
            <w:shd w:fill="EAF1F9" w:color="auto" w:val="clear"/>
            <w:tcMar>
              <w:top w:type="dxa" w:w="35"/>
              <w:left w:type="dxa" w:w="100"/>
              <w:bottom w:type="dxa" w:w="35"/>
              <w:right w:type="dxa" w:w="100"/>
            </w:tcMar>
            <w:vAlign w:val="center"/>
          </w:tcPr>
          <w:p>
            <w:pPr>
              <w:spacing w:after="0" w:before="0"/>
            </w:pP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Libro Unico del Lavoro / Cedolini</w:t>
            </w:r>
          </w:p>
        </w:tc>
        <w:tc>
          <w:tcPr>
            <w:tcW w:type="dxa" w:w="3638"/>
            <w:tcMar>
              <w:top w:type="dxa" w:w="35"/>
              <w:left w:type="dxa" w:w="100"/>
              <w:bottom w:type="dxa" w:w="35"/>
              <w:right w:type="dxa" w:w="100"/>
            </w:tcMar>
            <w:vAlign w:val="center"/>
          </w:tcPr>
          <w:p>
            <w:pPr>
              <w:spacing w:after="0" w:before="0"/>
            </w:pPr>
            <w:r>
              <w:rPr>
                <w:sz w:val="19"/>
                <w:szCs w:val="19"/>
              </w:rPr>
              <w:t xml:space="preserve">pdf, p7m</w:t>
            </w:r>
          </w:p>
        </w:tc>
        <w:tc>
          <w:tcPr>
            <w:tcW w:type="dxa" w:w="1800"/>
            <w:tcMar>
              <w:top w:type="dxa" w:w="35"/>
              <w:left w:type="dxa" w:w="100"/>
              <w:bottom w:type="dxa" w:w="35"/>
              <w:right w:type="dxa" w:w="100"/>
            </w:tcMar>
            <w:vAlign w:val="center"/>
          </w:tcPr>
          <w:p>
            <w:pPr>
              <w:spacing w:after="0" w:before="0"/>
            </w:pPr>
          </w:p>
        </w:tc>
        <w:tc>
          <w:tcPr>
            <w:tcW w:type="dxa" w:w="1800"/>
            <w:tcMar>
              <w:top w:type="dxa" w:w="35"/>
              <w:left w:type="dxa" w:w="100"/>
              <w:bottom w:type="dxa" w:w="35"/>
              <w:right w:type="dxa" w:w="100"/>
            </w:tcMar>
            <w:vAlign w:val="center"/>
          </w:tcPr>
          <w:p>
            <w:pPr>
              <w:spacing w:after="0" w:before="0"/>
            </w:pP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 altra tipologia]</w:t>
            </w:r>
          </w:p>
        </w:tc>
        <w:tc>
          <w:tcPr>
            <w:tcW w:type="dxa" w:w="3638"/>
            <w:shd w:fill="EAF1F9" w:color="auto" w:val="clear"/>
            <w:tcMar>
              <w:top w:type="dxa" w:w="35"/>
              <w:left w:type="dxa" w:w="100"/>
              <w:bottom w:type="dxa" w:w="35"/>
              <w:right w:type="dxa" w:w="100"/>
            </w:tcMar>
            <w:vAlign w:val="center"/>
          </w:tcPr>
          <w:p>
            <w:pPr>
              <w:spacing w:after="0" w:before="0"/>
            </w:pPr>
          </w:p>
        </w:tc>
        <w:tc>
          <w:tcPr>
            <w:tcW w:type="dxa" w:w="1800"/>
            <w:shd w:fill="EAF1F9" w:color="auto" w:val="clear"/>
            <w:tcMar>
              <w:top w:type="dxa" w:w="35"/>
              <w:left w:type="dxa" w:w="100"/>
              <w:bottom w:type="dxa" w:w="35"/>
              <w:right w:type="dxa" w:w="100"/>
            </w:tcMar>
            <w:vAlign w:val="center"/>
          </w:tcPr>
          <w:p>
            <w:pPr>
              <w:spacing w:after="0" w:before="0"/>
            </w:pPr>
          </w:p>
        </w:tc>
        <w:tc>
          <w:tcPr>
            <w:tcW w:type="dxa" w:w="1800"/>
            <w:shd w:fill="EAF1F9" w:color="auto" w:val="clear"/>
            <w:tcMar>
              <w:top w:type="dxa" w:w="35"/>
              <w:left w:type="dxa" w:w="100"/>
              <w:bottom w:type="dxa" w:w="35"/>
              <w:right w:type="dxa" w:w="100"/>
            </w:tcMar>
            <w:vAlign w:val="center"/>
          </w:tcPr>
          <w:p>
            <w:pPr>
              <w:spacing w:after="0" w:before="0"/>
            </w:pPr>
          </w:p>
        </w:tc>
      </w:tr>
    </w:tbl>
    <w:p>
      <w:pPr>
        <w:spacing w:after="120"/>
      </w:pPr>
    </w:p>
    <w:p>
      <w:pPr>
        <w:keepNext/>
        <w:keepLines/>
        <w:spacing w:after="120" w:line="276"/>
        <w:jc w:val="both"/>
      </w:pPr>
      <w:r>
        <w:rPr>
          <w:b/>
          <w:bCs/>
        </w:rPr>
        <w:t xml:space="preserve">Utenti del portale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819"/>
        <w:gridCol w:w="2891"/>
        <w:gridCol w:w="1928"/>
      </w:tblGrid>
      <w:tr>
        <w:trPr>
          <w:cantSplit/>
          <w:tblHeader/>
        </w:trPr>
        <w:tc>
          <w:tcPr>
            <w:tcW w:type="dxa" w:w="4819"/>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Nome e cognome</w:t>
            </w:r>
          </w:p>
        </w:tc>
        <w:tc>
          <w:tcPr>
            <w:tcW w:type="dxa" w:w="289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E-mail</w:t>
            </w:r>
          </w:p>
        </w:tc>
        <w:tc>
          <w:tcPr>
            <w:tcW w:type="dxa" w:w="192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Ruolo (versatore e consultazione / solo consultazione)</w:t>
            </w:r>
          </w:p>
        </w:tc>
      </w:tr>
      <w:tr>
        <w:trPr>
          <w:cantSplit/>
          <w:tblHeader w:val="false"/>
          <w:trHeight w:val="330" w:hRule="atLeast"/>
        </w:trPr>
        <w:tc>
          <w:tcPr>
            <w:tcW w:type="dxa" w:w="4819"/>
            <w:tcMar>
              <w:top w:type="dxa" w:w="35"/>
              <w:left w:type="dxa" w:w="100"/>
              <w:bottom w:type="dxa" w:w="35"/>
              <w:right w:type="dxa" w:w="100"/>
            </w:tcMar>
            <w:vAlign w:val="center"/>
          </w:tcPr>
          <w:p>
            <w:pPr>
              <w:spacing w:after="0" w:before="0"/>
            </w:pPr>
          </w:p>
        </w:tc>
        <w:tc>
          <w:tcPr>
            <w:tcW w:type="dxa" w:w="2891"/>
            <w:tcMar>
              <w:top w:type="dxa" w:w="35"/>
              <w:left w:type="dxa" w:w="100"/>
              <w:bottom w:type="dxa" w:w="35"/>
              <w:right w:type="dxa" w:w="100"/>
            </w:tcMar>
            <w:vAlign w:val="center"/>
          </w:tcPr>
          <w:p>
            <w:pPr>
              <w:spacing w:after="0" w:before="0"/>
            </w:pPr>
          </w:p>
        </w:tc>
        <w:tc>
          <w:tcPr>
            <w:tcW w:type="dxa" w:w="1928"/>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4819"/>
            <w:shd w:fill="EAF1F9" w:color="auto" w:val="clear"/>
            <w:tcMar>
              <w:top w:type="dxa" w:w="35"/>
              <w:left w:type="dxa" w:w="100"/>
              <w:bottom w:type="dxa" w:w="35"/>
              <w:right w:type="dxa" w:w="100"/>
            </w:tcMar>
            <w:vAlign w:val="center"/>
          </w:tcPr>
          <w:p>
            <w:pPr>
              <w:spacing w:after="0" w:before="0"/>
            </w:pPr>
          </w:p>
        </w:tc>
        <w:tc>
          <w:tcPr>
            <w:tcW w:type="dxa" w:w="2891"/>
            <w:shd w:fill="EAF1F9" w:color="auto" w:val="clear"/>
            <w:tcMar>
              <w:top w:type="dxa" w:w="35"/>
              <w:left w:type="dxa" w:w="100"/>
              <w:bottom w:type="dxa" w:w="35"/>
              <w:right w:type="dxa" w:w="100"/>
            </w:tcMar>
            <w:vAlign w:val="center"/>
          </w:tcPr>
          <w:p>
            <w:pPr>
              <w:spacing w:after="0" w:before="0"/>
            </w:pPr>
          </w:p>
        </w:tc>
        <w:tc>
          <w:tcPr>
            <w:tcW w:type="dxa" w:w="1928"/>
            <w:shd w:fill="EAF1F9" w:color="auto" w:val="clear"/>
            <w:tcMar>
              <w:top w:type="dxa" w:w="35"/>
              <w:left w:type="dxa" w:w="100"/>
              <w:bottom w:type="dxa" w:w="35"/>
              <w:right w:type="dxa" w:w="100"/>
            </w:tcMar>
            <w:vAlign w:val="center"/>
          </w:tcPr>
          <w:p>
            <w:pPr>
              <w:spacing w:after="0" w:before="0"/>
            </w:pP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r>
        <w:br w:type="page"/>
      </w:r>
    </w:p>
    <w:p>
      <w:pPr>
        <w:keepNext/>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 anno].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819"/>
        <w:gridCol w:w="2891"/>
        <w:gridCol w:w="1928"/>
      </w:tblGrid>
      <w:tr>
        <w:trPr>
          <w:cantSplit/>
          <w:tblHeader/>
        </w:trPr>
        <w:tc>
          <w:tcPr>
            <w:tcW w:type="dxa" w:w="4819"/>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289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Unità</w:t>
            </w:r>
          </w:p>
        </w:tc>
        <w:tc>
          <w:tcPr>
            <w:tcW w:type="dxa" w:w="192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Prezzo (€)</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Attivazione del Servizio (anagrafica, utenze, configurazione)</w:t>
            </w:r>
          </w:p>
        </w:tc>
        <w:tc>
          <w:tcPr>
            <w:tcW w:type="dxa" w:w="2891"/>
            <w:tcMar>
              <w:top w:type="dxa" w:w="35"/>
              <w:left w:type="dxa" w:w="100"/>
              <w:bottom w:type="dxa" w:w="35"/>
              <w:right w:type="dxa" w:w="100"/>
            </w:tcMar>
            <w:vAlign w:val="center"/>
          </w:tcPr>
          <w:p>
            <w:pPr>
              <w:spacing w:after="0" w:before="0"/>
            </w:pPr>
            <w:r>
              <w:rPr>
                <w:sz w:val="19"/>
                <w:szCs w:val="19"/>
              </w:rPr>
              <w:t xml:space="preserve">una tantum</w:t>
            </w:r>
          </w:p>
        </w:tc>
        <w:tc>
          <w:tcPr>
            <w:tcW w:type="dxa" w:w="1928"/>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 fino a 10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versato, copre il Periodo di conservazione</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di conservazione da 11 a 100 GB</w:t>
            </w:r>
          </w:p>
        </w:tc>
        <w:tc>
          <w:tcPr>
            <w:tcW w:type="dxa" w:w="2891"/>
            <w:tcMar>
              <w:top w:type="dxa" w:w="35"/>
              <w:left w:type="dxa" w:w="100"/>
              <w:bottom w:type="dxa" w:w="35"/>
              <w:right w:type="dxa" w:w="100"/>
            </w:tcMar>
            <w:vAlign w:val="center"/>
          </w:tcPr>
          <w:p>
            <w:pPr>
              <w:spacing w:after="0" w:before="0"/>
            </w:pPr>
            <w:r>
              <w:rPr>
                <w:sz w:val="19"/>
                <w:szCs w:val="19"/>
              </w:rPr>
              <w:t xml:space="preserve">per GB versato</w:t>
            </w:r>
          </w:p>
        </w:tc>
        <w:tc>
          <w:tcPr>
            <w:tcW w:type="dxa" w:w="1928"/>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 oltre 100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versato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anagrafica</w:t>
            </w:r>
          </w:p>
        </w:tc>
        <w:tc>
          <w:tcPr>
            <w:tcW w:type="dxa" w:w="2891"/>
            <w:tcMar>
              <w:top w:type="dxa" w:w="35"/>
              <w:left w:type="dxa" w:w="100"/>
              <w:bottom w:type="dxa" w:w="35"/>
              <w:right w:type="dxa" w:w="100"/>
            </w:tcMar>
            <w:vAlign w:val="center"/>
          </w:tcPr>
          <w:p>
            <w:pPr>
              <w:spacing w:after="0" w:before="0"/>
            </w:pPr>
            <w:r>
              <w:rPr>
                <w:sz w:val="19"/>
                <w:szCs w:val="19"/>
              </w:rPr>
              <w:t xml:space="preserve">per anno solare</w:t>
            </w:r>
          </w:p>
        </w:tc>
        <w:tc>
          <w:tcPr>
            <w:tcW w:type="dxa" w:w="1928"/>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 fino a 1.000 documenti</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richiesta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Cancellazione anticipata fino a 10.000 documenti</w:t>
            </w:r>
          </w:p>
        </w:tc>
        <w:tc>
          <w:tcPr>
            <w:tcW w:type="dxa" w:w="2891"/>
            <w:tcMar>
              <w:top w:type="dxa" w:w="35"/>
              <w:left w:type="dxa" w:w="100"/>
              <w:bottom w:type="dxa" w:w="35"/>
              <w:right w:type="dxa" w:w="100"/>
            </w:tcMar>
            <w:vAlign w:val="center"/>
          </w:tcPr>
          <w:p>
            <w:pPr>
              <w:spacing w:after="0" w:before="0"/>
            </w:pPr>
            <w:r>
              <w:rPr>
                <w:sz w:val="19"/>
                <w:szCs w:val="19"/>
              </w:rPr>
              <w:t xml:space="preserve">per richiesta</w:t>
            </w:r>
          </w:p>
        </w:tc>
        <w:tc>
          <w:tcPr>
            <w:tcW w:type="dxa" w:w="1928"/>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 fino a 100.000 documenti</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richiesta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Modalità ridotta (solo consultazione)</w:t>
            </w:r>
          </w:p>
        </w:tc>
        <w:tc>
          <w:tcPr>
            <w:tcW w:type="dxa" w:w="2891"/>
            <w:tcMar>
              <w:top w:type="dxa" w:w="35"/>
              <w:left w:type="dxa" w:w="100"/>
              <w:bottom w:type="dxa" w:w="35"/>
              <w:right w:type="dxa" w:w="100"/>
            </w:tcMar>
            <w:vAlign w:val="center"/>
          </w:tcPr>
          <w:p>
            <w:pPr>
              <w:spacing w:after="0" w:before="0"/>
            </w:pPr>
            <w:r>
              <w:rPr>
                <w:sz w:val="19"/>
                <w:szCs w:val="19"/>
              </w:rPr>
              <w:t xml:space="preserve">per anno solare</w:t>
            </w:r>
          </w:p>
        </w:tc>
        <w:tc>
          <w:tcPr>
            <w:tcW w:type="dxa" w:w="1928"/>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Esportazione in PdD</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richiesta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Attività extra (integrazione, formazione)</w:t>
            </w:r>
          </w:p>
        </w:tc>
        <w:tc>
          <w:tcPr>
            <w:tcW w:type="dxa" w:w="2891"/>
            <w:tcMar>
              <w:top w:type="dxa" w:w="35"/>
              <w:left w:type="dxa" w:w="100"/>
              <w:bottom w:type="dxa" w:w="35"/>
              <w:right w:type="dxa" w:w="100"/>
            </w:tcMar>
            <w:vAlign w:val="center"/>
          </w:tcPr>
          <w:p>
            <w:pPr>
              <w:spacing w:after="0" w:before="0"/>
            </w:pPr>
            <w:r>
              <w:rPr>
                <w:sz w:val="19"/>
                <w:szCs w:val="19"/>
              </w:rPr>
              <w:t xml:space="preserve">per ora</w:t>
            </w:r>
          </w:p>
        </w:tc>
        <w:tc>
          <w:tcPr>
            <w:tcW w:type="dxa" w:w="1928"/>
            <w:tcMar>
              <w:top w:type="dxa" w:w="35"/>
              <w:left w:type="dxa" w:w="100"/>
              <w:bottom w:type="dxa" w:w="35"/>
              <w:right w:type="dxa" w:w="100"/>
            </w:tcMar>
            <w:vAlign w:val="center"/>
          </w:tcPr>
          <w:p>
            <w:pPr>
              <w:spacing w:after="0" w:before="0"/>
            </w:pPr>
            <w:r>
              <w:rPr>
                <w:sz w:val="19"/>
                <w:szCs w:val="19"/>
              </w:rPr>
              <w:t xml:space="preserve">[●]</w:t>
            </w:r>
          </w:p>
        </w:tc>
      </w:tr>
    </w:tbl>
    <w:p>
      <w:pPr>
        <w:spacing w:after="120"/>
      </w:pPr>
    </w:p>
    <w:p>
      <w:pPr>
        <w:keepNext/>
        <w:keepLines/>
        <w:spacing w:after="120" w:line="276"/>
        <w:jc w:val="both"/>
      </w:pPr>
      <w:r>
        <w:t xml:space="preserve">Le fasce del canone di conservazione si applicano al volume complessivo versato nell'anno solare.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r>
        <w:br w:type="page"/>
      </w:r>
    </w:p>
    <w:p>
      <w:pPr>
        <w:keepNext/>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 di contatto ☐ finanziari e fiscali ☐ relativi al rapporto di lavoro ☐ relativi alla salute ☐ altro: [●]</w:t>
      </w:r>
    </w:p>
    <w:p>
      <w:pPr>
        <w:pStyle w:val="ListParagraph"/>
        <w:numPr>
          <w:ilvl w:val="0"/>
          <w:numId w:val="7"/>
        </w:numPr>
        <w:spacing w:after="80" w:line="276"/>
        <w:jc w:val="both"/>
      </w:pPr>
      <w:r>
        <w:rPr>
          <w:b/>
          <w:bCs/>
        </w:rPr>
        <w:t xml:space="preserve">Categorie di interessati:</w:t>
      </w:r>
      <w:r>
        <w:t xml:space="preserve"> ☐ clienti ☐ fornitori ☐ dipendenti e collaboratori ☐ altro: [●]</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Intesi Group S.p.A. e i suoi sub-responsabili pubblicati su https://www.intesigroup.com/it/dpa/.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dei dati, salvo obblighi di legge. I documenti conservati restano presso il Conservatore secondo l'art. 11 del Contratto.</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42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420"/>
            </w:pPr>
            <w:r>
              <w:rPr>
                <w:color w:val="7F7F7F"/>
                <w:sz w:val="18"/>
                <w:szCs w:val="18"/>
              </w:rPr>
              <w:t xml:space="preserve">(WST)</w:t>
            </w:r>
          </w:p>
          <w:p>
            <w:pPr>
              <w:pBdr>
                <w:bottom w:val="single" w:color="404040" w:sz="6" w:space="1"/>
              </w:pBdr>
            </w:pPr>
            <w:r>
              <w:t xml:space="preserve"> </w:t>
            </w:r>
          </w:p>
          <w:p>
            <w:pPr>
              <w:spacing w:after="120"/>
            </w:pPr>
            <w:r>
              <w:rPr>
                <w:color w:val="7F7F7F"/>
                <w:sz w:val="16"/>
                <w:szCs w:val="16"/>
              </w:rPr>
              <w:t xml:space="preserve">Firma</w:t>
            </w:r>
          </w:p>
        </w:tc>
      </w:tr>
    </w:tbl>
    <w:p>
      <w:r>
        <w:br w:type="page"/>
      </w:r>
    </w:p>
    <w:p>
      <w:pPr>
        <w:keepNext/>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 nome e cognome], nato/a a [●] il [●], C.F. [●], in qualità di Responsabile della conservazione di [● ragione sociale] (il "Titolare dei documenti"), P.IVA [●],</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 data];</w:t>
      </w:r>
    </w:p>
    <w:p>
      <w:pPr>
        <w:pStyle w:val="ListParagraph"/>
        <w:numPr>
          <w:ilvl w:val="0"/>
          <w:numId w:val="8"/>
        </w:numPr>
        <w:spacing w:after="80" w:line="276"/>
        <w:jc w:val="both"/>
      </w:pPr>
      <w:r>
        <w:t xml:space="preserve">di aver preso visione del Manuale del Sistema di Conservazione di Intesi Group S.p.A.</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 </w:t>
      </w:r>
      <w:r>
        <w:rPr>
          <w:b/>
          <w:bCs/>
        </w:rPr>
        <w:t xml:space="preserve">Intesi Group S.p.A.</w:t>
      </w:r>
      <w:r>
        <w:t xml:space="preserve">, e per essa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20 – 03100 Frosinone (FR)</w:t>
          </w:r>
        </w:p>
        <w:p>
          <w:pPr>
            <w:spacing w:after="0"/>
            <w:jc w:val="right"/>
          </w:pPr>
          <w:r>
            <w:rPr>
              <w:color w:val="7F7F7F"/>
              <w:sz w:val="16"/>
              <w:szCs w:val="16"/>
            </w:rPr>
            <w:t xml:space="preserve">P.IVA [●]  ·  PEC [●]  ·  www.[●].it</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2026-10-09T07:45:59.483Z</dcterms:created>
  <dcterms:modified xsi:type="dcterms:W3CDTF">2026-10-09T07:45:59.483Z</dcterms:modified>
</cp:coreProperties>
</file>

<file path=docProps/custom.xml><?xml version="1.0" encoding="utf-8"?>
<Properties xmlns="http://schemas.openxmlformats.org/officeDocument/2006/custom-properties" xmlns:vt="http://schemas.openxmlformats.org/officeDocument/2006/docPropsVTypes"/>
</file>