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74, 03100 Frosinone (FR), P.IVA e C.F. 02664400609, partita IVA comunitaria IT02664400609,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WST ha stipulato con un conservatore qualificato, iscritto nell'elenco dei prestatori di servizi fiduciari qualificati (di seguito il "</w:t>
      </w:r>
      <w:r>
        <w:rPr>
          <w:b/>
          <w:bCs/>
        </w:rPr>
        <w:t xml:space="preserve">Conservatore</w:t>
      </w:r>
      <w:r>
        <w:t xml:space="preserve">"), un contratto che le consente di versare nel sistema di conservazione del Conservatore i documenti dei propri clienti, operando come Produttore dei Pacchetti di Versamento. Il Conservatore è indicato nell'Allegato D;</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del Conservatore,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Titolare dei documenti</w:t>
            </w:r>
          </w:p>
        </w:tc>
        <w:tc>
          <w:tcPr>
            <w:tcW w:type="dxa" w:w="6361"/>
            <w:tcMar>
              <w:top w:type="dxa" w:w="20"/>
              <w:left w:type="dxa" w:w="100"/>
              <w:bottom w:type="dxa" w:w="20"/>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 dei PdV</w:t>
            </w:r>
          </w:p>
        </w:tc>
        <w:tc>
          <w:tcPr>
            <w:tcW w:type="dxa" w:w="6361"/>
            <w:tcMar>
              <w:top w:type="dxa" w:w="20"/>
              <w:left w:type="dxa" w:w="100"/>
              <w:bottom w:type="dxa" w:w="20"/>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Conservatore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conservatore qualificato indicato nell'Allegato D, che gestisce il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PdV / PdA / PdD</w:t>
            </w:r>
          </w:p>
        </w:tc>
        <w:tc>
          <w:tcPr>
            <w:tcW w:type="dxa" w:w="6361"/>
            <w:tcMar>
              <w:top w:type="dxa" w:w="20"/>
              <w:left w:type="dxa" w:w="100"/>
              <w:bottom w:type="dxa" w:w="20"/>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Hash</w:t>
            </w:r>
          </w:p>
        </w:tc>
        <w:tc>
          <w:tcPr>
            <w:tcW w:type="dxa" w:w="6361"/>
            <w:tcMar>
              <w:top w:type="dxa" w:w="20"/>
              <w:left w:type="dxa" w:w="100"/>
              <w:bottom w:type="dxa" w:w="20"/>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RENTRI</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xFIR</w:t>
            </w:r>
          </w:p>
        </w:tc>
        <w:tc>
          <w:tcPr>
            <w:tcW w:type="dxa" w:w="6361"/>
            <w:tcMar>
              <w:top w:type="dxa" w:w="20"/>
              <w:left w:type="dxa" w:w="100"/>
              <w:bottom w:type="dxa" w:w="20"/>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Software</w:t>
            </w:r>
          </w:p>
        </w:tc>
        <w:tc>
          <w:tcPr>
            <w:tcW w:type="dxa" w:w="6361"/>
            <w:tcMar>
              <w:top w:type="dxa" w:w="20"/>
              <w:left w:type="dxa" w:w="100"/>
              <w:bottom w:type="dxa" w:w="20"/>
              <w:right w:type="dxa" w:w="100"/>
            </w:tcMar>
            <w:vAlign w:val="center"/>
          </w:tcPr>
          <w:p>
            <w:pPr>
              <w:spacing w:after="0" w:before="0"/>
            </w:pPr>
            <w:r>
              <w:rPr>
                <w:sz w:val="19"/>
                <w:szCs w:val="19"/>
              </w:rPr>
              <w:t xml:space="preserve">Il software gestionale rifiuti di WST, per la compilazione e la gestione di xFIR e registri.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Trasportatore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Cliente che svolge attività di trasporto rifiuti ed è già licenziatario del Software in forza di un separato contratto con WST.</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w:t>
            </w:r>
          </w:p>
        </w:tc>
        <w:tc>
          <w:tcPr>
            <w:tcW w:type="dxa" w:w="6361"/>
            <w:tcMar>
              <w:top w:type="dxa" w:w="20"/>
              <w:left w:type="dxa" w:w="100"/>
              <w:bottom w:type="dxa" w:w="20"/>
              <w:right w:type="dxa" w:w="100"/>
            </w:tcMar>
            <w:vAlign w:val="center"/>
          </w:tcPr>
          <w:p>
            <w:pPr>
              <w:spacing w:after="0" w:before="0"/>
            </w:pPr>
            <w:r>
              <w:rPr>
                <w:sz w:val="19"/>
                <w:szCs w:val="19"/>
              </w:rPr>
              <w:t xml:space="preserve">Cliente produttore di rifiuti che riceve il Software in licenza d'uso con il presente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MB / GB</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Megabyte (1.000.000 byte) e Gigabyte (1.000 MB) di documenti e metadati conservati, come rilevati dal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Pacchetto</w:t>
            </w:r>
          </w:p>
        </w:tc>
        <w:tc>
          <w:tcPr>
            <w:tcW w:type="dxa" w:w="6361"/>
            <w:tcMar>
              <w:top w:type="dxa" w:w="20"/>
              <w:left w:type="dxa" w:w="100"/>
              <w:bottom w:type="dxa" w:w="20"/>
              <w:right w:type="dxa" w:w="100"/>
            </w:tcMar>
            <w:vAlign w:val="center"/>
          </w:tcPr>
          <w:p>
            <w:pPr>
              <w:spacing w:after="0" w:before="0"/>
            </w:pPr>
            <w:r>
              <w:rPr>
                <w:sz w:val="19"/>
                <w:szCs w:val="19"/>
              </w:rPr>
              <w:t xml:space="preserve">Il canone annuale del Pacchetto Trasportatori o del Pacchetto Produttori (quest'ultimo comprensivo della licenza del Software), che comprende 100 MB di spazio di conservazione, il versamento a cura di WST, le ricevute, l'assistenza e fino a 3 esibizioni per anno.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Esibizione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L'invio al Cliente, su sua richiesta, di copia dei documenti conservati con le relative ricevute, ad esempio per un controllo degli enti competenti o per una verifica interna.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Anagrafica</w:t>
            </w:r>
          </w:p>
        </w:tc>
        <w:tc>
          <w:tcPr>
            <w:tcW w:type="dxa" w:w="6361"/>
            <w:tcMar>
              <w:top w:type="dxa" w:w="20"/>
              <w:left w:type="dxa" w:w="100"/>
              <w:bottom w:type="dxa" w:w="20"/>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Periodo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Periodo di conservazione</w:t>
            </w:r>
          </w:p>
        </w:tc>
        <w:tc>
          <w:tcPr>
            <w:tcW w:type="dxa" w:w="6361"/>
            <w:tcMar>
              <w:top w:type="dxa" w:w="20"/>
              <w:left w:type="dxa" w:w="100"/>
              <w:bottom w:type="dxa" w:w="20"/>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Anno solare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Manuale</w:t>
            </w:r>
          </w:p>
        </w:tc>
        <w:tc>
          <w:tcPr>
            <w:tcW w:type="dxa" w:w="6361"/>
            <w:tcMar>
              <w:top w:type="dxa" w:w="20"/>
              <w:left w:type="dxa" w:w="100"/>
              <w:bottom w:type="dxa" w:w="20"/>
              <w:right w:type="dxa" w:w="100"/>
            </w:tcMar>
            <w:vAlign w:val="center"/>
          </w:tcPr>
          <w:p>
            <w:pPr>
              <w:spacing w:after="0" w:before="0"/>
            </w:pPr>
            <w:r>
              <w:rPr>
                <w:sz w:val="19"/>
                <w:szCs w:val="19"/>
              </w:rPr>
              <w:t xml:space="preserve">Il Manuale del Sistema di Conservazione del Conservatore, pubblicato sul sito del Conservatore e disponibile su richiesta presso WST.</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ricezione dei documenti dal Cliente, la preparazione e il versamento dei PdV a cura esclusiva di WST;</w:t>
      </w:r>
    </w:p>
    <w:p>
      <w:pPr>
        <w:pStyle w:val="ListParagraph"/>
        <w:numPr>
          <w:ilvl w:val="0"/>
          <w:numId w:val="3"/>
        </w:numPr>
        <w:spacing w:after="80" w:line="276"/>
        <w:jc w:val="both"/>
      </w:pPr>
      <w:r>
        <w:t xml:space="preserve">l'esibizione dei documenti conservati su richiesta del Cliente, secondo l'art. 8.6;</w:t>
      </w:r>
    </w:p>
    <w:p>
      <w:pPr>
        <w:pStyle w:val="ListParagraph"/>
        <w:numPr>
          <w:ilvl w:val="0"/>
          <w:numId w:val="3"/>
        </w:numPr>
        <w:spacing w:after="80" w:line="276"/>
        <w:jc w:val="both"/>
      </w:pPr>
      <w:r>
        <w:t xml:space="preserve">l'assistenza di primo livello descritta all'art. 8;</w:t>
      </w:r>
    </w:p>
    <w:p>
      <w:pPr>
        <w:pStyle w:val="ListParagraph"/>
        <w:numPr>
          <w:ilvl w:val="0"/>
          <w:numId w:val="3"/>
        </w:numPr>
        <w:spacing w:after="80" w:line="276"/>
        <w:jc w:val="both"/>
      </w:pPr>
      <w:r>
        <w:t xml:space="preserve">solo per i Produttori, la licenza d'uso del Software secondo l'art. 15.</w:t>
      </w:r>
    </w:p>
    <w:p>
      <w:pPr>
        <w:spacing w:after="120" w:line="276"/>
        <w:jc w:val="both"/>
      </w:pPr>
      <w:r>
        <w:rPr>
          <w:b/>
          <w:bCs/>
          <w:color w:val="1F3A5F"/>
        </w:rPr>
        <w:t xml:space="preserve">2.2  </w:t>
      </w:r>
      <w:r>
        <w:t xml:space="preserve">Il Cliente non dispone di utenze né di accesso diretto al Sistema di Conservazione: tutte le operazioni sono svolte da WST. Il processo di conservazione è eseguito dal Conservatore,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al Conservatore</w:t>
      </w:r>
      <w:r>
        <w:t xml:space="preserve">, e per esso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consegnare i documenti a WST solo tramite i canali concordati nell'Allegato A e non modificarli dopo la consegna;</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tentare in alcun modo di accedere al Sistema di Conservazione o ai sistemi di WST.</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punto 7.</w:t>
      </w:r>
    </w:p>
    <w:p>
      <w:pPr>
        <w:spacing w:after="120" w:line="276"/>
        <w:jc w:val="both"/>
      </w:pPr>
      <w:r>
        <w:rPr>
          <w:b/>
          <w:bCs/>
          <w:color w:val="1F3A5F"/>
        </w:rPr>
        <w:t xml:space="preserve">5.5  </w:t>
      </w:r>
      <w:r>
        <w:t xml:space="preserve">Se cessa per qualsiasi motivo il contratto tra WST e il Conservatore, WST può trasferire il Servizio a un altro conservatore qualificato secondo l'art. 13.4, oppure recedere con comunicazione via PEC e preavviso di almeno 60 giorni, salvo tempi più brevi imposti dal Conservatore.</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Pacchetto comprende 100 MB di spazio. Oltre i 100 MB si applica il canone annuale di conservazione dell'Allegato B, calcolato sullo spazio complessivamente occupato dai documenti del Cliente nel Sistema di Conservazione: fino a 1 GB secondo le fasce in MB, oltre 1 GB arrotondato per eccesso al GB intero. Ogni documento occupa spazio, e quindi genera canone, per tutti i 3 anni del Periodo di conservazione.</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Canone annuale del Pacchetto (Trasportatori e Produttori)</w:t>
            </w:r>
          </w:p>
        </w:tc>
        <w:tc>
          <w:tcPr>
            <w:tcW w:type="dxa" w:w="6361"/>
            <w:tcMar>
              <w:top w:type="dxa" w:w="20"/>
              <w:left w:type="dxa" w:w="100"/>
              <w:bottom w:type="dxa" w:w="20"/>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Canone annuale di conservazione (oltre 100 MB)</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Anticipato, a inizio anno, sullo spazio occupato al 1° gennaio; il passaggio a una fascia superiore in corso d'anno è fatturato nel mese in cui avviene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Cancellazione anticipata</w:t>
            </w:r>
          </w:p>
        </w:tc>
        <w:tc>
          <w:tcPr>
            <w:tcW w:type="dxa" w:w="6361"/>
            <w:tcMar>
              <w:top w:type="dxa" w:w="20"/>
              <w:left w:type="dxa" w:w="100"/>
              <w:bottom w:type="dxa" w:w="20"/>
              <w:right w:type="dxa" w:w="100"/>
            </w:tcMar>
            <w:vAlign w:val="center"/>
          </w:tcPr>
          <w:p>
            <w:pPr>
              <w:spacing w:after="0" w:before="0"/>
            </w:pPr>
            <w:r>
              <w:rPr>
                <w:sz w:val="19"/>
                <w:szCs w:val="19"/>
              </w:rPr>
              <w:t xml:space="preserve">All'esecuzione di ogni richiesta</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Attività extra</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L'esibizione dei documenti già conservati richiesta per controlli delle autorità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WST comunica al Cliente quando lo spazio occupato supera i 100 MB compresi nel Pacchetto o passa a una fascia superiore.</w:t>
      </w:r>
    </w:p>
    <w:p>
      <w:pPr>
        <w:spacing w:after="120" w:line="276"/>
        <w:jc w:val="both"/>
      </w:pPr>
      <w:r>
        <w:rPr>
          <w:b/>
          <w:bCs/>
          <w:color w:val="1F3A5F"/>
        </w:rPr>
        <w:t xml:space="preserve">6.7  </w:t>
      </w:r>
      <w:r>
        <w:t xml:space="preserve">Il canone del Pacchetto e il canone di conservazione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anno, al canone annuale di conservazione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1 – Urgente</w:t>
            </w:r>
          </w:p>
        </w:tc>
        <w:tc>
          <w:tcPr>
            <w:tcW w:type="dxa" w:w="3638"/>
            <w:tcMar>
              <w:top w:type="dxa" w:w="20"/>
              <w:left w:type="dxa" w:w="100"/>
              <w:bottom w:type="dxa" w:w="20"/>
              <w:right w:type="dxa" w:w="100"/>
            </w:tcMar>
            <w:vAlign w:val="center"/>
          </w:tcPr>
          <w:p>
            <w:pPr>
              <w:spacing w:after="0" w:before="0"/>
            </w:pPr>
            <w:r>
              <w:rPr>
                <w:sz w:val="19"/>
                <w:szCs w:val="19"/>
              </w:rPr>
              <w:t xml:space="preserve">Versamento impossibile o esibizione richiesta da un'autorità</w:t>
            </w:r>
          </w:p>
        </w:tc>
        <w:tc>
          <w:tcPr>
            <w:tcW w:type="dxa" w:w="1800"/>
            <w:tcMar>
              <w:top w:type="dxa" w:w="20"/>
              <w:left w:type="dxa" w:w="100"/>
              <w:bottom w:type="dxa" w:w="20"/>
              <w:right w:type="dxa" w:w="100"/>
            </w:tcMar>
            <w:vAlign w:val="center"/>
          </w:tcPr>
          <w:p>
            <w:pPr>
              <w:spacing w:after="0" w:before="0"/>
            </w:pPr>
            <w:r>
              <w:rPr>
                <w:sz w:val="19"/>
                <w:szCs w:val="19"/>
              </w:rPr>
              <w:t xml:space="preserve">4</w:t>
            </w:r>
          </w:p>
        </w:tc>
        <w:tc>
          <w:tcPr>
            <w:tcW w:type="dxa" w:w="1800"/>
            <w:tcMar>
              <w:top w:type="dxa" w:w="20"/>
              <w:left w:type="dxa" w:w="100"/>
              <w:bottom w:type="dxa" w:w="20"/>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2 – Alta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8</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3 – Media</w:t>
            </w:r>
          </w:p>
        </w:tc>
        <w:tc>
          <w:tcPr>
            <w:tcW w:type="dxa" w:w="3638"/>
            <w:tcMar>
              <w:top w:type="dxa" w:w="20"/>
              <w:left w:type="dxa" w:w="100"/>
              <w:bottom w:type="dxa" w:w="20"/>
              <w:right w:type="dxa" w:w="100"/>
            </w:tcMar>
            <w:vAlign w:val="center"/>
          </w:tcPr>
          <w:p>
            <w:pPr>
              <w:spacing w:after="0" w:before="0"/>
            </w:pPr>
            <w:r>
              <w:rPr>
                <w:sz w:val="19"/>
                <w:szCs w:val="19"/>
              </w:rPr>
              <w:t xml:space="preserve">Problema con soluzione alternativa</w:t>
            </w:r>
          </w:p>
        </w:tc>
        <w:tc>
          <w:tcPr>
            <w:tcW w:type="dxa" w:w="1800"/>
            <w:tcMar>
              <w:top w:type="dxa" w:w="20"/>
              <w:left w:type="dxa" w:w="100"/>
              <w:bottom w:type="dxa" w:w="20"/>
              <w:right w:type="dxa" w:w="100"/>
            </w:tcMar>
            <w:vAlign w:val="center"/>
          </w:tcPr>
          <w:p>
            <w:pPr>
              <w:spacing w:after="0" w:before="0"/>
            </w:pPr>
            <w:r>
              <w:rPr>
                <w:sz w:val="19"/>
                <w:szCs w:val="19"/>
              </w:rPr>
              <w:t xml:space="preserve">12</w:t>
            </w:r>
          </w:p>
        </w:tc>
        <w:tc>
          <w:tcPr>
            <w:tcW w:type="dxa" w:w="1800"/>
            <w:tcMar>
              <w:top w:type="dxa" w:w="20"/>
              <w:left w:type="dxa" w:w="100"/>
              <w:bottom w:type="dxa" w:w="20"/>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4 – Bassa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spacing w:after="120" w:line="276"/>
        <w:jc w:val="both"/>
      </w:pPr>
      <w:r>
        <w:rPr>
          <w:b/>
          <w:bCs/>
          <w:color w:val="1F3A5F"/>
        </w:rPr>
        <w:t xml:space="preserve">8.6  </w:t>
      </w:r>
      <w:r>
        <w:rPr>
          <w:b/>
          <w:bCs/>
        </w:rPr>
        <w:t xml:space="preserve">Esibizione.</w:t>
      </w:r>
      <w:r>
        <w:t xml:space="preserve"> Il Cliente chiede l'esibizione a WST via PEC o e-mail, indicando i documenti (numero xFIR, periodo del registro, produttore o destinatario). WST consegna i documenti, in formato elettronico e con le relative ricevute di conservazione, entro 3 giorni lavorativi, oppure entro 1 giorno lavorativo per le richieste urgenti o delle autorità di controllo. Sono comprese nel Pacchetto 3 esibizioni per anno solare; le ulteriori sono fatturate secondo l'Allegato B. WST registra ogni esibizione e il registro fa fede ai fini del conteggio.</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ritardo del Cliente nel consegnare i documenti a WST;</w:t>
      </w:r>
    </w:p>
    <w:p>
      <w:pPr>
        <w:pStyle w:val="ListParagraph"/>
        <w:numPr>
          <w:ilvl w:val="0"/>
          <w:numId w:val="3"/>
        </w:numPr>
        <w:spacing w:after="80" w:line="276"/>
        <w:jc w:val="both"/>
      </w:pPr>
      <w:r>
        <w:t xml:space="preserve">indisponibilità temporanea del Sistema di Conservazione del Conservatore;</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del Conservatore come sub-responsabile del trattamento, e dei sub-responsabili del Conservatore, indicati nell'Allegato C. WST impone al Conservatore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Alla cessazione WST fattura in un'unica soluzione i canoni annuali di conservazione residui fino allo scarto, calcolati sullo spazio occupato a quella data; resta escluso lo spazio entro i 100 MB.</w:t>
      </w:r>
    </w:p>
    <w:p>
      <w:pPr>
        <w:spacing w:after="120" w:line="276"/>
        <w:jc w:val="both"/>
      </w:pPr>
      <w:r>
        <w:rPr>
          <w:b/>
          <w:bCs/>
          <w:color w:val="1F3A5F"/>
        </w:rPr>
        <w:t xml:space="preserve">11.3  </w:t>
      </w:r>
      <w:r>
        <w:rPr>
          <w:b/>
          <w:bCs/>
        </w:rPr>
        <w:t xml:space="preserve">Esibizione dopo la cessazione.</w:t>
      </w:r>
      <w:r>
        <w:t xml:space="preserve"> Dopo la cessazione i documenti restano conservati e il Cliente può chiederne l'esibizione a WST per tutto il Periodo di conservazione. Ogni richiesta è fatturata secondo l'Allegato B.</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del Conservatore,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per e-mail all'indirizzo indicato da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Art. 15 – Licenza d'uso del Software (solo Produttori)</w:t>
      </w:r>
    </w:p>
    <w:p>
      <w:pPr>
        <w:spacing w:after="120" w:line="276"/>
        <w:jc w:val="both"/>
      </w:pPr>
      <w:r>
        <w:rPr>
          <w:b/>
          <w:bCs/>
          <w:color w:val="1F3A5F"/>
        </w:rPr>
        <w:t xml:space="preserve">15.1  </w:t>
      </w:r>
      <w:r>
        <w:t xml:space="preserve">Se il Cliente è un Produttore, WST gli concede per la durata del Contratto una licenza d'uso non esclusiva e non trasferibile del Software, per la sola gestione dei propri xFIR e registri.</w:t>
      </w:r>
    </w:p>
    <w:p>
      <w:pPr>
        <w:spacing w:after="120" w:line="276"/>
        <w:jc w:val="both"/>
      </w:pPr>
      <w:r>
        <w:rPr>
          <w:b/>
          <w:bCs/>
          <w:color w:val="1F3A5F"/>
        </w:rPr>
        <w:t xml:space="preserve">15.2  </w:t>
      </w:r>
      <w:r>
        <w:t xml:space="preserve">La licenza è compresa nel canone annuale del Pacchetto Produttori indicato nell'Allegato B. Cessa automaticamente con la cessazione del Contratto, salvo il diritto del Cliente di ottenere l'esibizione dei documenti già conservati secondo l'art. 11.</w:t>
      </w:r>
    </w:p>
    <w:p>
      <w:pPr>
        <w:spacing w:after="120" w:line="276"/>
        <w:jc w:val="both"/>
      </w:pPr>
      <w:r>
        <w:rPr>
          <w:b/>
          <w:bCs/>
          <w:color w:val="1F3A5F"/>
        </w:rPr>
        <w:t xml:space="preserve">15.3  </w:t>
      </w:r>
      <w:r>
        <w:t xml:space="preserve">Il Software resta di proprietà esclusiva di WST. Il Cliente non può copiarlo, modificarlo, decompilarlo, cederlo, concederlo in sublicenza o metterlo a disposizione di terzi.</w:t>
      </w:r>
    </w:p>
    <w:p>
      <w:pPr>
        <w:spacing w:after="120" w:line="276"/>
        <w:jc w:val="both"/>
      </w:pPr>
      <w:r>
        <w:rPr>
          <w:b/>
          <w:bCs/>
          <w:color w:val="1F3A5F"/>
        </w:rPr>
        <w:t xml:space="preserve">15.4  </w:t>
      </w:r>
      <w:r>
        <w:t xml:space="preserve">WST può aggiornare il Software, anche modificandone le funzioni, per adeguarlo alle specifiche RENTRI o per migliorarlo. Il Cliente è tenuto a usare la versione aggiornata.</w:t>
      </w:r>
    </w:p>
    <w:p>
      <w:pPr>
        <w:spacing w:after="120" w:line="276"/>
        <w:jc w:val="both"/>
      </w:pPr>
      <w:r>
        <w:rPr>
          <w:b/>
          <w:bCs/>
          <w:color w:val="1F3A5F"/>
        </w:rPr>
        <w:t xml:space="preserve">15.5  </w:t>
      </w:r>
      <w:r>
        <w:t xml:space="preserve">Il Cliente resta responsabile della correttezza dei dati inseriti nel Software e degli adempimenti verso il RENTRI. Al Software si applicano le limitazioni di responsabilità dell'art. 9.</w:t>
      </w:r>
    </w:p>
    <w:p>
      <w:pPr>
        <w:spacing w:after="120" w:line="276"/>
        <w:jc w:val="both"/>
      </w:pPr>
      <w:r>
        <w:rPr>
          <w:b/>
          <w:bCs/>
          <w:color w:val="1F3A5F"/>
        </w:rPr>
        <w:t xml:space="preserve">15.6  </w:t>
      </w:r>
      <w:r>
        <w:t xml:space="preserve">Per i Trasportatori la licenza del Software resta regolata dal relativo contratto separato, che il presente Contratto non modifica.</w:t>
      </w:r>
    </w:p>
    <w:p>
      <w:pPr>
        <w:keepNext/>
        <w:pBdr>
          <w:bottom w:val="single" w:color="6599CD" w:sz="6" w:space="2"/>
        </w:pBdr>
        <w:spacing w:after="120" w:before="280"/>
      </w:pPr>
      <w:r>
        <w:rPr>
          <w:b/>
          <w:bCs/>
          <w:color w:val="1F3A5F"/>
          <w:sz w:val="22"/>
          <w:szCs w:val="22"/>
        </w:rPr>
        <w:t xml:space="preserve">Art. 16 – Non aggiramento</w:t>
      </w:r>
    </w:p>
    <w:p>
      <w:pPr>
        <w:spacing w:after="120" w:line="276"/>
        <w:jc w:val="both"/>
      </w:pPr>
      <w:r>
        <w:rPr>
          <w:b/>
          <w:bCs/>
          <w:color w:val="1F3A5F"/>
        </w:rPr>
        <w:t xml:space="preserve">16.1  </w:t>
      </w:r>
      <w:r>
        <w:t xml:space="preserve">Il Cliente riconosce che il rapporto con il Conservatore e con gli altri fornitori del Servizio è frutto dell'organizzazione commerciale di WST.</w:t>
      </w:r>
    </w:p>
    <w:p>
      <w:pPr>
        <w:spacing w:after="120" w:line="276"/>
        <w:jc w:val="both"/>
      </w:pPr>
      <w:r>
        <w:rPr>
          <w:b/>
          <w:bCs/>
          <w:color w:val="1F3A5F"/>
        </w:rPr>
        <w:t xml:space="preserve">16.2  </w:t>
      </w:r>
      <w:r>
        <w:t xml:space="preserve">Per tutta la durata del Contratto e per i 24 mesi successivi alla sua cessazione, il Cliente si impegna a non affidare, direttamente o tramite terzi, al Conservatore o ad altri fornitori conosciuti tramite WST servizi di conservazione o di gestione di xFIR e registri uguali o simili a quelli del Contratto, e a non sollecitarne le offerte.</w:t>
      </w:r>
    </w:p>
    <w:p>
      <w:pPr>
        <w:spacing w:after="120" w:line="276"/>
        <w:jc w:val="both"/>
      </w:pPr>
      <w:r>
        <w:rPr>
          <w:b/>
          <w:bCs/>
          <w:color w:val="1F3A5F"/>
        </w:rPr>
        <w:t xml:space="preserve">16.3  </w:t>
      </w:r>
      <w:r>
        <w:t xml:space="preserve">In caso di violazione, il Cliente paga a WST una penale pari a 24 mensilità dei corrispettivi medi pagati negli ultimi 12 mesi, e comunque non inferiore a 500 €, salvo il risarcimento del maggior danno.</w:t>
      </w:r>
    </w:p>
    <w:p>
      <w:pPr>
        <w:spacing w:after="120" w:line="276"/>
        <w:jc w:val="both"/>
      </w:pPr>
      <w:r>
        <w:rPr>
          <w:b/>
          <w:bCs/>
          <w:color w:val="1F3A5F"/>
        </w:rPr>
        <w:t xml:space="preserve">16.4  </w:t>
      </w:r>
      <w:r>
        <w:t xml:space="preserve">Le informazioni sul Conservatore e sulle condizioni economiche praticate a WST sono riservate ai sensi dell'art. 12.1.</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 art. 15.2, 15.3 e 15.5 (cessazione della licenza, divieti d'uso del Software e responsabilità sui dati); art. 16.2 e 16.3 (patto di non aggiramento e penale).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Valore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Tipologia di Cliente</w:t>
            </w:r>
          </w:p>
        </w:tc>
        <w:tc>
          <w:tcPr>
            <w:tcW w:type="dxa" w:w="6361"/>
            <w:tcMar>
              <w:top w:type="dxa" w:w="20"/>
              <w:left w:type="dxa" w:w="100"/>
              <w:bottom w:type="dxa" w:w="20"/>
              <w:right w:type="dxa" w:w="100"/>
            </w:tcMar>
            <w:vAlign w:val="center"/>
          </w:tcPr>
          <w:p>
            <w:pPr>
              <w:spacing w:after="0" w:before="0"/>
            </w:pPr>
            <w:r>
              <w:rPr>
                <w:sz w:val="19"/>
                <w:szCs w:val="19"/>
              </w:rPr>
              <w:t xml:space="preserve">☐ Trasportatore (già licenziatario del Software)   ☐ Produttore (Software incluso)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Ragione sociale / P.IVA / C.F.</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Sede (indirizzo, CAP, città, provincia, Stato)</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PEC</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Responsabile della conservazione (nome, e-mail, cellulare)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Referente tecnico (nome, e-mail, cellulare)</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Volume stimato di documenti per anno (MB)</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Periodicità di versamento (giornaliera, mensile, …)</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Modalità di consegna dei documenti a WST (integrazione con il gestionale rifiuti / invio file)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Software gestionale rifiuti utilizzato</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Indirizzo PEC o e-mail per le richieste di esibizione</w:t>
            </w:r>
          </w:p>
        </w:tc>
        <w:tc>
          <w:tcPr>
            <w:tcW w:type="dxa" w:w="6361"/>
            <w:tcMar>
              <w:top w:type="dxa" w:w="20"/>
              <w:left w:type="dxa" w:w="100"/>
              <w:bottom w:type="dxa" w:w="20"/>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xFIR – Formulari di identificazione dei rifiuti digitali</w:t>
            </w:r>
          </w:p>
        </w:tc>
        <w:tc>
          <w:tcPr>
            <w:tcW w:type="dxa" w:w="3638"/>
            <w:tcMar>
              <w:top w:type="dxa" w:w="20"/>
              <w:left w:type="dxa" w:w="100"/>
              <w:bottom w:type="dxa" w:w="20"/>
              <w:right w:type="dxa" w:w="100"/>
            </w:tcMar>
            <w:vAlign w:val="center"/>
          </w:tcPr>
          <w:p>
            <w:pPr>
              <w:spacing w:after="0" w:before="0"/>
            </w:pPr>
            <w:r>
              <w:rPr>
                <w:sz w:val="19"/>
                <w:szCs w:val="19"/>
              </w:rPr>
              <w:t xml:space="preserve">xml, pdf,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xml, pdf, p7m</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Allegati a xFIR (documenti di trasporto, analisi, ricevute RENTRI)</w:t>
            </w:r>
          </w:p>
        </w:tc>
        <w:tc>
          <w:tcPr>
            <w:tcW w:type="dxa" w:w="3638"/>
            <w:tcMar>
              <w:top w:type="dxa" w:w="20"/>
              <w:left w:type="dxa" w:w="100"/>
              <w:bottom w:type="dxa" w:w="20"/>
              <w:right w:type="dxa" w:w="100"/>
            </w:tcMar>
            <w:vAlign w:val="center"/>
          </w:tcPr>
          <w:p>
            <w:pPr>
              <w:spacing w:after="0" w:before="0"/>
            </w:pPr>
            <w:r>
              <w:rPr>
                <w:sz w:val="19"/>
                <w:szCs w:val="19"/>
              </w:rPr>
              <w:t xml:space="preserve">pdf, xml,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sono calcolati sullo spazio, mai sul numero di documenti.</w:t>
      </w:r>
    </w:p>
    <w:p>
      <w:pPr>
        <w:keepNext/>
        <w:keepLines/>
        <w:spacing w:after="120" w:line="276"/>
        <w:jc w:val="both"/>
      </w:pPr>
      <w:r>
        <w:rPr>
          <w:b/>
          <w:bCs/>
        </w:rPr>
        <w:t xml:space="preserve">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Pacchetto Trasportatori (già licenziatari del Software): attivazione, 100 MB di spazio, versamento a cura di WST, ricevute, assistenza, fino a 3 esibizioni per anno</w:t>
            </w:r>
          </w:p>
        </w:tc>
        <w:tc>
          <w:tcPr>
            <w:tcW w:type="dxa" w:w="2120"/>
            <w:tcMar>
              <w:top w:type="dxa" w:w="20"/>
              <w:left w:type="dxa" w:w="100"/>
              <w:bottom w:type="dxa" w:w="20"/>
              <w:right w:type="dxa" w:w="100"/>
            </w:tcMar>
            <w:vAlign w:val="center"/>
          </w:tcPr>
          <w:p>
            <w:pPr>
              <w:spacing w:after="0" w:before="0"/>
            </w:pPr>
            <w:r>
              <w:rPr>
                <w:sz w:val="19"/>
                <w:szCs w:val="19"/>
              </w:rPr>
              <w:t xml:space="preserve">per anno solare</w:t>
            </w:r>
          </w:p>
        </w:tc>
        <w:tc>
          <w:tcPr>
            <w:tcW w:type="dxa" w:w="1542"/>
            <w:tcMar>
              <w:top w:type="dxa" w:w="20"/>
              <w:left w:type="dxa" w:w="100"/>
              <w:bottom w:type="dxa" w:w="20"/>
              <w:right w:type="dxa" w:w="100"/>
            </w:tcMar>
            <w:vAlign w:val="center"/>
          </w:tcPr>
          <w:p>
            <w:pPr>
              <w:spacing w:after="0" w:before="0"/>
            </w:pPr>
            <w:r>
              <w:rPr>
                <w:sz w:val="19"/>
                <w:szCs w:val="19"/>
              </w:rPr>
              <w:t xml:space="preserve">100,00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Pacchetto Produttori: licenza del Software, attivazione, 100 MB di spazio, versamento a cura di WST, ricevute, assistenza, fino a 3 esibizioni per anno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150,00</w:t>
            </w:r>
          </w:p>
        </w:tc>
      </w:tr>
    </w:tbl>
    <w:p>
      <w:pPr>
        <w:spacing w:after="120"/>
      </w:pPr>
    </w:p>
    <w:p>
      <w:pPr>
        <w:keepNext/>
        <w:keepLines/>
        <w:spacing w:after="120" w:line="276"/>
        <w:jc w:val="both"/>
      </w:pPr>
      <w:r>
        <w:rPr>
          <w:b/>
          <w:bCs/>
        </w:rPr>
        <w:t xml:space="preserve">Spazio oltre i 100 MB compresi nel 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Spazio occupato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 101 MB a 500 MB</w:t>
            </w:r>
          </w:p>
        </w:tc>
        <w:tc>
          <w:tcPr>
            <w:tcW w:type="dxa" w:w="2120"/>
            <w:tcMar>
              <w:top w:type="dxa" w:w="20"/>
              <w:left w:type="dxa" w:w="100"/>
              <w:bottom w:type="dxa" w:w="20"/>
              <w:right w:type="dxa" w:w="100"/>
            </w:tcMar>
            <w:vAlign w:val="center"/>
          </w:tcPr>
          <w:p>
            <w:pPr>
              <w:spacing w:after="0" w:before="0"/>
            </w:pPr>
            <w:r>
              <w:rPr>
                <w:sz w:val="19"/>
                <w:szCs w:val="19"/>
              </w:rPr>
              <w:t xml:space="preserve">per anno solare</w:t>
            </w:r>
          </w:p>
        </w:tc>
        <w:tc>
          <w:tcPr>
            <w:tcW w:type="dxa" w:w="1542"/>
            <w:tcMar>
              <w:top w:type="dxa" w:w="20"/>
              <w:left w:type="dxa" w:w="100"/>
              <w:bottom w:type="dxa" w:w="20"/>
              <w:right w:type="dxa" w:w="100"/>
            </w:tcMar>
            <w:vAlign w:val="center"/>
          </w:tcPr>
          <w:p>
            <w:pPr>
              <w:spacing w:after="0" w:before="0"/>
            </w:pPr>
            <w:r>
              <w:rPr>
                <w:sz w:val="19"/>
                <w:szCs w:val="19"/>
              </w:rPr>
              <w:t xml:space="preserve">95,00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 501 MB a 1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170,00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Dal 2° al 10°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97,00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Dall'11° al 100°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GB, 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73,00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Oltre 100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53,00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Prolungamento oltre i 3 anni</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stesso canone annuale</w:t>
            </w:r>
          </w:p>
        </w:tc>
      </w:tr>
    </w:tbl>
    <w:p>
      <w:pPr>
        <w:spacing w:after="120"/>
      </w:pPr>
    </w:p>
    <w:p>
      <w:pPr>
        <w:keepNext w:val="false"/>
        <w:keepLines w:val="false"/>
        <w:spacing w:after="120" w:line="276"/>
        <w:jc w:val="both"/>
      </w:pPr>
      <w:r>
        <w:t xml:space="preserve">Fino a 1 GB si paga la sola fascia raggiunta. Oltre 1 GB le fasce sono progressive: ogni fascia si applica solo ai GB che vi rientrano. Esempi: spazio occupato 300 MB = 95 € per anno; 600 MB = 170 € per anno; 3,4 GB, arrotondato a 4 GB = 170 + 3 × 97 = 461 € per anno. Finché lo spazio resta entro 100 MB il Cliente paga solo il Pacchetto.</w:t>
      </w:r>
    </w:p>
    <w:p>
      <w:pPr>
        <w:keepNext/>
        <w:keepLines/>
        <w:spacing w:after="120" w:line="276"/>
        <w:jc w:val="both"/>
      </w:pPr>
      <w:r>
        <w:rPr>
          <w:b/>
          <w:bCs/>
        </w:rPr>
        <w:t xml:space="preserve">Servizi su richiesta</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Servizio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Esibizione oltre le 3 comprese per anno, o dopo la fine del Contratto</w:t>
            </w:r>
          </w:p>
        </w:tc>
        <w:tc>
          <w:tcPr>
            <w:tcW w:type="dxa" w:w="2120"/>
            <w:tcMar>
              <w:top w:type="dxa" w:w="20"/>
              <w:left w:type="dxa" w:w="100"/>
              <w:bottom w:type="dxa" w:w="20"/>
              <w:right w:type="dxa" w:w="100"/>
            </w:tcMar>
            <w:vAlign w:val="center"/>
          </w:tcPr>
          <w:p>
            <w:pPr>
              <w:spacing w:after="0" w:before="0"/>
            </w:pPr>
            <w:r>
              <w:rPr>
                <w:sz w:val="19"/>
                <w:szCs w:val="19"/>
              </w:rPr>
              <w:t xml:space="preserve">per richiesta</w:t>
            </w:r>
          </w:p>
        </w:tc>
        <w:tc>
          <w:tcPr>
            <w:tcW w:type="dxa" w:w="1542"/>
            <w:tcMar>
              <w:top w:type="dxa" w:w="20"/>
              <w:left w:type="dxa" w:w="100"/>
              <w:bottom w:type="dxa" w:w="20"/>
              <w:right w:type="dxa" w:w="100"/>
            </w:tcMar>
            <w:vAlign w:val="center"/>
          </w:tcPr>
          <w:p>
            <w:pPr>
              <w:spacing w:after="0" w:before="0"/>
            </w:pPr>
            <w:r>
              <w:rPr>
                <w:sz w:val="19"/>
                <w:szCs w:val="19"/>
              </w:rPr>
              <w:t xml:space="preserve">60,00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Esibizione urgente (entro 1 giorno lavorativo)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richiesta</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120,00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Attività extra (integrazione, formazione, supporto oltre il primo livello)</w:t>
            </w:r>
          </w:p>
        </w:tc>
        <w:tc>
          <w:tcPr>
            <w:tcW w:type="dxa" w:w="2120"/>
            <w:tcMar>
              <w:top w:type="dxa" w:w="20"/>
              <w:left w:type="dxa" w:w="100"/>
              <w:bottom w:type="dxa" w:w="20"/>
              <w:right w:type="dxa" w:w="100"/>
            </w:tcMar>
            <w:vAlign w:val="center"/>
          </w:tcPr>
          <w:p>
            <w:pPr>
              <w:spacing w:after="0" w:before="0"/>
            </w:pPr>
            <w:r>
              <w:rPr>
                <w:sz w:val="19"/>
                <w:szCs w:val="19"/>
              </w:rPr>
              <w:t xml:space="preserve">per ora</w:t>
            </w:r>
          </w:p>
        </w:tc>
        <w:tc>
          <w:tcPr>
            <w:tcW w:type="dxa" w:w="1542"/>
            <w:tcMar>
              <w:top w:type="dxa" w:w="20"/>
              <w:left w:type="dxa" w:w="100"/>
              <w:bottom w:type="dxa" w:w="20"/>
              <w:right w:type="dxa" w:w="100"/>
            </w:tcMar>
            <w:vAlign w:val="center"/>
          </w:tcPr>
          <w:p>
            <w:pPr>
              <w:spacing w:after="0" w:before="0"/>
            </w:pPr>
            <w:r>
              <w:rPr>
                <w:sz w:val="19"/>
                <w:szCs w:val="19"/>
              </w:rPr>
              <w:t xml:space="preserve">50,00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Integrazione API REST con il gestionale rifiuti del Cliente</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una tantum</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da preventivare</w:t>
            </w:r>
          </w:p>
        </w:tc>
      </w:tr>
    </w:tbl>
    <w:p>
      <w:pPr>
        <w:spacing w:after="120"/>
      </w:pPr>
    </w:p>
    <w:p>
      <w:pPr>
        <w:keepNext/>
        <w:keepLines/>
        <w:spacing w:after="120" w:line="276"/>
        <w:jc w:val="both"/>
      </w:pPr>
      <w:r>
        <w:rPr>
          <w:b/>
          <w:bCs/>
        </w:rPr>
        <w:t xml:space="preserve">Altri servizi, solo in casi particolari</w:t>
      </w:r>
    </w:p>
    <w:p>
      <w:pPr>
        <w:keepNext w:val="false"/>
        <w:keepLines w:val="false"/>
        <w:spacing w:after="120" w:line="276"/>
        <w:jc w:val="both"/>
      </w:pPr>
      <w:r>
        <w:t xml:space="preserve">Nell'uso normale non servono: alla fine dei 3 anni i documenti vengono eliminati in automatico e senza costi.</w:t>
      </w:r>
    </w:p>
    <w:p>
      <w:pPr>
        <w:pStyle w:val="ListParagraph"/>
        <w:numPr>
          <w:ilvl w:val="0"/>
          <w:numId w:val="3"/>
        </w:numPr>
        <w:spacing w:after="80" w:line="276"/>
        <w:jc w:val="both"/>
      </w:pPr>
      <w:r>
        <w:rPr>
          <w:b/>
          <w:bCs/>
        </w:rPr>
        <w:t xml:space="preserve">Trasferimento ad altro conservatore</w:t>
      </w:r>
      <w:r>
        <w:t xml:space="preserve">, se il Cliente decide di spostare i propri documenti: 290 € a richiesta più 90 € per GB.</w:t>
      </w:r>
    </w:p>
    <w:p>
      <w:pPr>
        <w:pStyle w:val="ListParagraph"/>
        <w:numPr>
          <w:ilvl w:val="0"/>
          <w:numId w:val="3"/>
        </w:numPr>
        <w:spacing w:after="80" w:line="276"/>
        <w:jc w:val="both"/>
      </w:pPr>
      <w:r>
        <w:rPr>
          <w:b/>
          <w:bCs/>
        </w:rPr>
        <w:t xml:space="preserve">Cancellazione anticipata</w:t>
      </w:r>
      <w:r>
        <w:t xml:space="preserve">, solo se il Cliente chiede per iscritto di eliminare definitivamente documenti prima dei 3 anni, ad esempio perché versati per errore: 990 € a richiesta fino a 1 GB, più 490 € per ogni GB in più. WST conferma per iscritto al Cliente l'avvenuta cancellazione.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come sub-responsabile il Conservatore, Intesi Group S.p.A. (Via Torino 48, Milano, P.IVA 02780480964), e i sub-responsabili da esso indicati, il cui elenco è disponibile su richiesta presso WST.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30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30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ricevuto la possibilità di prendere visione del Manuale del Sistema di Conservazione del Conservatore sotto indicato.</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al Conservatore </w:t>
      </w:r>
      <w:r>
        <w:rPr>
          <w:b/>
          <w:bCs/>
        </w:rPr>
        <w:t xml:space="preserve">Intesi Group S.p.A.</w:t>
      </w:r>
      <w:r>
        <w:t xml:space="preserve">, Via Torino 48, Milano, P.IVA 02780480964, e per esso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74 – 03100 Frosinone (FR)</w:t>
          </w:r>
        </w:p>
        <w:p>
          <w:pPr>
            <w:spacing w:after="0"/>
            <w:jc w:val="right"/>
          </w:pPr>
          <w:r>
            <w:rPr>
              <w:color w:val="7F7F7F"/>
              <w:sz w:val="16"/>
              <w:szCs w:val="16"/>
            </w:rPr>
            <w:t xml:space="preserve">P.IVA e C.F. 02664400609  ·  VAT IT02664400609</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2026-10-09T12:58:43.628Z</dcterms:created>
  <dcterms:modified xsi:type="dcterms:W3CDTF">2026-10-09T12:58:43.631Z</dcterms:modified>
</cp:coreProperties>
</file>

<file path=docProps/custom.xml><?xml version="1.0" encoding="utf-8"?>
<Properties xmlns="http://schemas.openxmlformats.org/officeDocument/2006/custom-properties" xmlns:vt="http://schemas.openxmlformats.org/officeDocument/2006/docPropsVTypes"/>
</file>