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Titolare dei documenti</w:t>
            </w:r>
          </w:p>
        </w:tc>
        <w:tc>
          <w:tcPr>
            <w:tcW w:type="dxa" w:w="6361"/>
            <w:tcMar>
              <w:top w:type="dxa" w:w="35"/>
              <w:left w:type="dxa" w:w="100"/>
              <w:bottom w:type="dxa" w:w="35"/>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 dei PdV</w:t>
            </w:r>
          </w:p>
        </w:tc>
        <w:tc>
          <w:tcPr>
            <w:tcW w:type="dxa" w:w="6361"/>
            <w:tcMar>
              <w:top w:type="dxa" w:w="35"/>
              <w:left w:type="dxa" w:w="100"/>
              <w:bottom w:type="dxa" w:w="35"/>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Conservatore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PdV / PdA / PdD</w:t>
            </w:r>
          </w:p>
        </w:tc>
        <w:tc>
          <w:tcPr>
            <w:tcW w:type="dxa" w:w="6361"/>
            <w:tcMar>
              <w:top w:type="dxa" w:w="35"/>
              <w:left w:type="dxa" w:w="100"/>
              <w:bottom w:type="dxa" w:w="35"/>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Hash</w:t>
            </w:r>
          </w:p>
        </w:tc>
        <w:tc>
          <w:tcPr>
            <w:tcW w:type="dxa" w:w="6361"/>
            <w:tcMar>
              <w:top w:type="dxa" w:w="35"/>
              <w:left w:type="dxa" w:w="100"/>
              <w:bottom w:type="dxa" w:w="35"/>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RENTRI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xFIR</w:t>
            </w:r>
          </w:p>
        </w:tc>
        <w:tc>
          <w:tcPr>
            <w:tcW w:type="dxa" w:w="6361"/>
            <w:tcMar>
              <w:top w:type="dxa" w:w="35"/>
              <w:left w:type="dxa" w:w="100"/>
              <w:bottom w:type="dxa" w:w="35"/>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Software</w:t>
            </w:r>
          </w:p>
        </w:tc>
        <w:tc>
          <w:tcPr>
            <w:tcW w:type="dxa" w:w="6361"/>
            <w:tcMar>
              <w:top w:type="dxa" w:w="35"/>
              <w:left w:type="dxa" w:w="100"/>
              <w:bottom w:type="dxa" w:w="35"/>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Trasportatore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w:t>
            </w:r>
          </w:p>
        </w:tc>
        <w:tc>
          <w:tcPr>
            <w:tcW w:type="dxa" w:w="6361"/>
            <w:tcMar>
              <w:top w:type="dxa" w:w="35"/>
              <w:left w:type="dxa" w:w="100"/>
              <w:bottom w:type="dxa" w:w="35"/>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MB / GB</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Megabyte (1.000.000 byte) e Gigabyte (1.000 MB) di documenti e metadati conservati, come rilevati dal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Pacchetto</w:t>
            </w:r>
          </w:p>
        </w:tc>
        <w:tc>
          <w:tcPr>
            <w:tcW w:type="dxa" w:w="6361"/>
            <w:tcMar>
              <w:top w:type="dxa" w:w="35"/>
              <w:left w:type="dxa" w:w="100"/>
              <w:bottom w:type="dxa" w:w="35"/>
              <w:right w:type="dxa" w:w="100"/>
            </w:tcMar>
            <w:vAlign w:val="center"/>
          </w:tcPr>
          <w:p>
            <w:pPr>
              <w:spacing w:after="0" w:before="0"/>
            </w:pPr>
            <w:r>
              <w:rPr>
                <w:sz w:val="19"/>
                <w:szCs w:val="19"/>
              </w:rPr>
              <w:t xml:space="preserve">L'attivazione (Trasportatori) o il canone annuo Software (Produttori), che comprendono 100 MB di spazio di conservazione, il versamento a cura di WST, le ricevute, l'assistenza e fino a 6 esibizioni per anno.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Esibizione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L'invio al Cliente, su sua richiesta, di copia dei documenti conservati con le relative ricevute, ad esempio per un controllo degli enti competenti o per una verifica interna.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Anagrafica</w:t>
            </w:r>
          </w:p>
        </w:tc>
        <w:tc>
          <w:tcPr>
            <w:tcW w:type="dxa" w:w="6361"/>
            <w:tcMar>
              <w:top w:type="dxa" w:w="35"/>
              <w:left w:type="dxa" w:w="100"/>
              <w:bottom w:type="dxa" w:w="35"/>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Periodo di versamento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Periodo di conservazione</w:t>
            </w:r>
          </w:p>
        </w:tc>
        <w:tc>
          <w:tcPr>
            <w:tcW w:type="dxa" w:w="6361"/>
            <w:tcMar>
              <w:top w:type="dxa" w:w="35"/>
              <w:left w:type="dxa" w:w="100"/>
              <w:bottom w:type="dxa" w:w="35"/>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Manuale</w:t>
            </w:r>
          </w:p>
        </w:tc>
        <w:tc>
          <w:tcPr>
            <w:tcW w:type="dxa" w:w="6361"/>
            <w:tcMar>
              <w:top w:type="dxa" w:w="35"/>
              <w:left w:type="dxa" w:w="100"/>
              <w:bottom w:type="dxa" w:w="35"/>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WST estrae dal Sistema di Conservazione e consegna i documenti richiesti, con le relative ricevute,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arrotondato per eccesso al GB intero. Ogni documento occupa spazio, e quindi genera canone, per tutti i 3 anni del Periodo di conservazione.</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Attivazione (Trasportatori)</w:t>
            </w:r>
          </w:p>
        </w:tc>
        <w:tc>
          <w:tcPr>
            <w:tcW w:type="dxa" w:w="6361"/>
            <w:tcMar>
              <w:top w:type="dxa" w:w="35"/>
              <w:left w:type="dxa" w:w="100"/>
              <w:bottom w:type="dxa" w:w="35"/>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annuo Software (Produttori)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Canone annuale di conservazione (oltre 100 MB)</w:t>
            </w:r>
          </w:p>
        </w:tc>
        <w:tc>
          <w:tcPr>
            <w:tcW w:type="dxa" w:w="6361"/>
            <w:tcMar>
              <w:top w:type="dxa" w:w="35"/>
              <w:left w:type="dxa" w:w="100"/>
              <w:bottom w:type="dxa" w:w="35"/>
              <w:right w:type="dxa" w:w="100"/>
            </w:tcMar>
            <w:vAlign w:val="center"/>
          </w:tcPr>
          <w:p>
            <w:pPr>
              <w:spacing w:after="0" w:before="0"/>
            </w:pPr>
            <w:r>
              <w:rPr>
                <w:sz w:val="19"/>
                <w:szCs w:val="19"/>
              </w:rPr>
              <w:t xml:space="preserve">Anticipato, a inizio anno, sullo spazio occupato al 1° gennaio; il passaggio a una fascia superiore in corso d'anno è fatturato nel mese in cui avviene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Attività extra</w:t>
            </w:r>
          </w:p>
        </w:tc>
        <w:tc>
          <w:tcPr>
            <w:tcW w:type="dxa" w:w="6361"/>
            <w:tcMar>
              <w:top w:type="dxa" w:w="35"/>
              <w:left w:type="dxa" w:w="100"/>
              <w:bottom w:type="dxa" w:w="35"/>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WST comunica al Cliente quando lo spazio occupato supera i 100 MB compresi nel Pacchetto o passa a una fascia superiore.</w:t>
      </w:r>
    </w:p>
    <w:p>
      <w:pPr>
        <w:spacing w:after="120" w:line="276"/>
        <w:jc w:val="both"/>
      </w:pPr>
      <w:r>
        <w:rPr>
          <w:b/>
          <w:bCs/>
          <w:color w:val="1F3A5F"/>
        </w:rPr>
        <w:t xml:space="preserve">6.7  </w:t>
      </w:r>
      <w:r>
        <w:t xml:space="preserve">Il canone di conservazione, il canone annuo Software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1 – Urgente</w:t>
            </w:r>
          </w:p>
        </w:tc>
        <w:tc>
          <w:tcPr>
            <w:tcW w:type="dxa" w:w="3638"/>
            <w:tcMar>
              <w:top w:type="dxa" w:w="35"/>
              <w:left w:type="dxa" w:w="100"/>
              <w:bottom w:type="dxa" w:w="35"/>
              <w:right w:type="dxa" w:w="100"/>
            </w:tcMar>
            <w:vAlign w:val="center"/>
          </w:tcPr>
          <w:p>
            <w:pPr>
              <w:spacing w:after="0" w:before="0"/>
            </w:pPr>
            <w:r>
              <w:rPr>
                <w:sz w:val="19"/>
                <w:szCs w:val="19"/>
              </w:rPr>
              <w:t xml:space="preserve">Versamento impossibile o esibizione richiesta da un'autorità</w:t>
            </w:r>
          </w:p>
        </w:tc>
        <w:tc>
          <w:tcPr>
            <w:tcW w:type="dxa" w:w="1800"/>
            <w:tcMar>
              <w:top w:type="dxa" w:w="35"/>
              <w:left w:type="dxa" w:w="100"/>
              <w:bottom w:type="dxa" w:w="35"/>
              <w:right w:type="dxa" w:w="100"/>
            </w:tcMar>
            <w:vAlign w:val="center"/>
          </w:tcPr>
          <w:p>
            <w:pPr>
              <w:spacing w:after="0" w:before="0"/>
            </w:pPr>
            <w:r>
              <w:rPr>
                <w:sz w:val="19"/>
                <w:szCs w:val="19"/>
              </w:rPr>
              <w:t xml:space="preserve">4</w:t>
            </w:r>
          </w:p>
        </w:tc>
        <w:tc>
          <w:tcPr>
            <w:tcW w:type="dxa" w:w="1800"/>
            <w:tcMar>
              <w:top w:type="dxa" w:w="35"/>
              <w:left w:type="dxa" w:w="100"/>
              <w:bottom w:type="dxa" w:w="35"/>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2 – Alta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8</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3 – Media</w:t>
            </w:r>
          </w:p>
        </w:tc>
        <w:tc>
          <w:tcPr>
            <w:tcW w:type="dxa" w:w="3638"/>
            <w:tcMar>
              <w:top w:type="dxa" w:w="35"/>
              <w:left w:type="dxa" w:w="100"/>
              <w:bottom w:type="dxa" w:w="35"/>
              <w:right w:type="dxa" w:w="100"/>
            </w:tcMar>
            <w:vAlign w:val="center"/>
          </w:tcPr>
          <w:p>
            <w:pPr>
              <w:spacing w:after="0" w:before="0"/>
            </w:pPr>
            <w:r>
              <w:rPr>
                <w:sz w:val="19"/>
                <w:szCs w:val="19"/>
              </w:rPr>
              <w:t xml:space="preserve">Problema con soluzione alternativa</w:t>
            </w:r>
          </w:p>
        </w:tc>
        <w:tc>
          <w:tcPr>
            <w:tcW w:type="dxa" w:w="1800"/>
            <w:tcMar>
              <w:top w:type="dxa" w:w="35"/>
              <w:left w:type="dxa" w:w="100"/>
              <w:bottom w:type="dxa" w:w="35"/>
              <w:right w:type="dxa" w:w="100"/>
            </w:tcMar>
            <w:vAlign w:val="center"/>
          </w:tcPr>
          <w:p>
            <w:pPr>
              <w:spacing w:after="0" w:before="0"/>
            </w:pPr>
            <w:r>
              <w:rPr>
                <w:sz w:val="19"/>
                <w:szCs w:val="19"/>
              </w:rPr>
              <w:t xml:space="preserve">12</w:t>
            </w:r>
          </w:p>
        </w:tc>
        <w:tc>
          <w:tcPr>
            <w:tcW w:type="dxa" w:w="1800"/>
            <w:tcMar>
              <w:top w:type="dxa" w:w="35"/>
              <w:left w:type="dxa" w:w="100"/>
              <w:bottom w:type="dxa" w:w="35"/>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4 – Bassa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via PEC o e-mail, indicando i documenti (numero xFIR, periodo del registro, produttore o destinatario). WST consegna i documenti, in formato elettronico e con le relative ricevute di conservazione, entro 3 giorni lavorativi. Per richieste delle autorità di controllo il termine è di 1 giorno lavorativo, se la richiesta lo segnala. Sono comprese nel Pacchetto fino a 6 richieste di esibizione per anno; le ulteriori e quelle urgenti sono fatturate secondo l'Allegato B.</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Alla cessazione WST fattura in un'unica soluzione i canoni annuali di conservazione residui fino allo scarto, calcolati sullo spazio occupato a quella data; resta escluso lo spazio entro i 100 MB.</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annuo Software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Tipologia di Cliente</w:t>
            </w:r>
          </w:p>
        </w:tc>
        <w:tc>
          <w:tcPr>
            <w:tcW w:type="dxa" w:w="6361"/>
            <w:tcMar>
              <w:top w:type="dxa" w:w="35"/>
              <w:left w:type="dxa" w:w="100"/>
              <w:bottom w:type="dxa" w:w="35"/>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Sede (indirizzo, CAP, città, provincia, Stato)</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PEC</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Responsabile della conservazione (nome, e-mail, cellulare)</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Volume stimato di documenti per anno (MB)</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35"/>
              <w:left w:type="dxa" w:w="100"/>
              <w:bottom w:type="dxa" w:w="35"/>
              <w:right w:type="dxa" w:w="100"/>
            </w:tcMar>
            <w:vAlign w:val="center"/>
          </w:tcPr>
          <w:p>
            <w:pPr>
              <w:spacing w:after="0" w:before="0"/>
            </w:pP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Indirizzo PEC o e-mail per le richieste di esibizione</w:t>
            </w:r>
          </w:p>
        </w:tc>
        <w:tc>
          <w:tcPr>
            <w:tcW w:type="dxa" w:w="6361"/>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xFIR – Formulari di identificazione dei rifiuti digitali</w:t>
            </w:r>
          </w:p>
        </w:tc>
        <w:tc>
          <w:tcPr>
            <w:tcW w:type="dxa" w:w="3638"/>
            <w:tcMar>
              <w:top w:type="dxa" w:w="35"/>
              <w:left w:type="dxa" w:w="100"/>
              <w:bottom w:type="dxa" w:w="35"/>
              <w:right w:type="dxa" w:w="100"/>
            </w:tcMar>
            <w:vAlign w:val="center"/>
          </w:tcPr>
          <w:p>
            <w:pPr>
              <w:spacing w:after="0" w:before="0"/>
            </w:pPr>
            <w:r>
              <w:rPr>
                <w:sz w:val="19"/>
                <w:szCs w:val="19"/>
              </w:rPr>
              <w:t xml:space="preserve">xml, pdf,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xml, pdf, p7m</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Allegati a xFIR (documenti di trasporto, analisi, ricevute RENTRI)</w:t>
            </w:r>
          </w:p>
        </w:tc>
        <w:tc>
          <w:tcPr>
            <w:tcW w:type="dxa" w:w="3638"/>
            <w:tcMar>
              <w:top w:type="dxa" w:w="35"/>
              <w:left w:type="dxa" w:w="100"/>
              <w:bottom w:type="dxa" w:w="35"/>
              <w:right w:type="dxa" w:w="100"/>
            </w:tcMar>
            <w:vAlign w:val="center"/>
          </w:tcPr>
          <w:p>
            <w:pPr>
              <w:spacing w:after="0" w:before="0"/>
            </w:pPr>
            <w:r>
              <w:rPr>
                <w:sz w:val="19"/>
                <w:szCs w:val="19"/>
              </w:rPr>
              <w:t xml:space="preserve">pdf, xml,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sono calcolati sullo spazio, mai sul numero di documenti.</w:t>
      </w:r>
    </w:p>
    <w:p>
      <w:pPr>
        <w:keepNext/>
        <w:keepLines/>
        <w:spacing w:after="120" w:line="276"/>
        <w:jc w:val="both"/>
      </w:pPr>
      <w:r>
        <w:rPr>
          <w:b/>
          <w:bCs/>
        </w:rPr>
        <w:t xml:space="preserve">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212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Pacchetto Trasportatori (già licenziatari del Software): attivazione, 100 MB di spazio, versamento a cura di WST, ricevute, assistenza, fino a 6 esibizioni per anno</w:t>
            </w:r>
          </w:p>
        </w:tc>
        <w:tc>
          <w:tcPr>
            <w:tcW w:type="dxa" w:w="2120"/>
            <w:tcMar>
              <w:top w:type="dxa" w:w="35"/>
              <w:left w:type="dxa" w:w="100"/>
              <w:bottom w:type="dxa" w:w="35"/>
              <w:right w:type="dxa" w:w="100"/>
            </w:tcMar>
            <w:vAlign w:val="center"/>
          </w:tcPr>
          <w:p>
            <w:pPr>
              <w:spacing w:after="0" w:before="0"/>
            </w:pPr>
            <w:r>
              <w:rPr>
                <w:sz w:val="19"/>
                <w:szCs w:val="19"/>
              </w:rPr>
              <w:t xml:space="preserve">una tantum</w:t>
            </w:r>
          </w:p>
        </w:tc>
        <w:tc>
          <w:tcPr>
            <w:tcW w:type="dxa" w:w="1542"/>
            <w:tcMar>
              <w:top w:type="dxa" w:w="35"/>
              <w:left w:type="dxa" w:w="100"/>
              <w:bottom w:type="dxa" w:w="35"/>
              <w:right w:type="dxa" w:w="100"/>
            </w:tcMar>
            <w:vAlign w:val="center"/>
          </w:tcPr>
          <w:p>
            <w:pPr>
              <w:spacing w:after="0" w:before="0"/>
            </w:pPr>
            <w:r>
              <w:rPr>
                <w:sz w:val="19"/>
                <w:szCs w:val="19"/>
              </w:rPr>
              <w:t xml:space="preserve">100,00</w:t>
            </w:r>
          </w:p>
        </w:tc>
      </w:tr>
      <w:tr>
        <w:trPr>
          <w:cantSplit/>
          <w:tblHeader w:val="false"/>
        </w:trPr>
        <w:tc>
          <w:tcPr>
            <w:tcW w:type="dxa" w:w="5976"/>
            <w:shd w:fill="EAF1F9" w:color="auto" w:val="clear"/>
            <w:tcMar>
              <w:top w:type="dxa" w:w="35"/>
              <w:left w:type="dxa" w:w="100"/>
              <w:bottom w:type="dxa" w:w="35"/>
              <w:right w:type="dxa" w:w="100"/>
            </w:tcMar>
            <w:vAlign w:val="center"/>
          </w:tcPr>
          <w:p>
            <w:pPr>
              <w:spacing w:after="0" w:before="0"/>
            </w:pPr>
            <w:r>
              <w:rPr>
                <w:sz w:val="19"/>
                <w:szCs w:val="19"/>
              </w:rPr>
              <w:t xml:space="preserve">Pacchetto Produttori: licenza del Software, attivazione, 100 MB di spazio, versamento a cura di WST, ricevute, assistenza, fino a 6 esibizioni per anno</w:t>
            </w:r>
          </w:p>
        </w:tc>
        <w:tc>
          <w:tcPr>
            <w:tcW w:type="dxa" w:w="2120"/>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542"/>
            <w:shd w:fill="EAF1F9" w:color="auto" w:val="clear"/>
            <w:tcMar>
              <w:top w:type="dxa" w:w="35"/>
              <w:left w:type="dxa" w:w="100"/>
              <w:bottom w:type="dxa" w:w="35"/>
              <w:right w:type="dxa" w:w="100"/>
            </w:tcMar>
            <w:vAlign w:val="center"/>
          </w:tcPr>
          <w:p>
            <w:pPr>
              <w:spacing w:after="0" w:before="0"/>
            </w:pPr>
            <w:r>
              <w:rPr>
                <w:sz w:val="19"/>
                <w:szCs w:val="19"/>
              </w:rPr>
              <w:t xml:space="preserve">150,00</w:t>
            </w:r>
          </w:p>
        </w:tc>
      </w:tr>
    </w:tbl>
    <w:p>
      <w:pPr>
        <w:spacing w:after="120"/>
      </w:pPr>
    </w:p>
    <w:p>
      <w:pPr>
        <w:keepNext/>
        <w:keepLines/>
        <w:spacing w:after="120" w:line="276"/>
        <w:jc w:val="both"/>
      </w:pPr>
      <w:r>
        <w:rPr>
          <w:b/>
          <w:bCs/>
        </w:rPr>
        <w:t xml:space="preserve">Spazio oltre i 100 MB compresi nel 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Spazio occupato</w:t>
            </w:r>
          </w:p>
        </w:tc>
        <w:tc>
          <w:tcPr>
            <w:tcW w:type="dxa" w:w="212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Da 100 MB a 1 GB</w:t>
            </w:r>
          </w:p>
        </w:tc>
        <w:tc>
          <w:tcPr>
            <w:tcW w:type="dxa" w:w="2120"/>
            <w:tcMar>
              <w:top w:type="dxa" w:w="35"/>
              <w:left w:type="dxa" w:w="100"/>
              <w:bottom w:type="dxa" w:w="35"/>
              <w:right w:type="dxa" w:w="100"/>
            </w:tcMar>
            <w:vAlign w:val="center"/>
          </w:tcPr>
          <w:p>
            <w:pPr>
              <w:spacing w:after="0" w:before="0"/>
            </w:pPr>
            <w:r>
              <w:rPr>
                <w:sz w:val="19"/>
                <w:szCs w:val="19"/>
              </w:rPr>
              <w:t xml:space="preserve">per anno solare</w:t>
            </w:r>
          </w:p>
        </w:tc>
        <w:tc>
          <w:tcPr>
            <w:tcW w:type="dxa" w:w="1542"/>
            <w:tcMar>
              <w:top w:type="dxa" w:w="35"/>
              <w:left w:type="dxa" w:w="100"/>
              <w:bottom w:type="dxa" w:w="35"/>
              <w:right w:type="dxa" w:w="100"/>
            </w:tcMar>
            <w:vAlign w:val="center"/>
          </w:tcPr>
          <w:p>
            <w:pPr>
              <w:spacing w:after="0" w:before="0"/>
            </w:pPr>
            <w:r>
              <w:rPr>
                <w:sz w:val="19"/>
                <w:szCs w:val="19"/>
              </w:rPr>
              <w:t xml:space="preserve">130,00</w:t>
            </w:r>
          </w:p>
        </w:tc>
      </w:tr>
      <w:tr>
        <w:trPr>
          <w:cantSplit/>
          <w:tblHeader w:val="false"/>
        </w:trPr>
        <w:tc>
          <w:tcPr>
            <w:tcW w:type="dxa" w:w="5976"/>
            <w:shd w:fill="EAF1F9" w:color="auto" w:val="clear"/>
            <w:tcMar>
              <w:top w:type="dxa" w:w="35"/>
              <w:left w:type="dxa" w:w="100"/>
              <w:bottom w:type="dxa" w:w="35"/>
              <w:right w:type="dxa" w:w="100"/>
            </w:tcMar>
            <w:vAlign w:val="center"/>
          </w:tcPr>
          <w:p>
            <w:pPr>
              <w:spacing w:after="0" w:before="0"/>
            </w:pPr>
            <w:r>
              <w:rPr>
                <w:sz w:val="19"/>
                <w:szCs w:val="19"/>
              </w:rPr>
              <w:t xml:space="preserve">Dal 2° al 10° GB</w:t>
            </w:r>
          </w:p>
        </w:tc>
        <w:tc>
          <w:tcPr>
            <w:tcW w:type="dxa" w:w="2120"/>
            <w:shd w:fill="EAF1F9" w:color="auto" w:val="clear"/>
            <w:tcMar>
              <w:top w:type="dxa" w:w="35"/>
              <w:left w:type="dxa" w:w="100"/>
              <w:bottom w:type="dxa" w:w="35"/>
              <w:right w:type="dxa" w:w="100"/>
            </w:tcMar>
            <w:vAlign w:val="center"/>
          </w:tcPr>
          <w:p>
            <w:pPr>
              <w:spacing w:after="0" w:before="0"/>
            </w:pPr>
            <w:r>
              <w:rPr>
                <w:sz w:val="19"/>
                <w:szCs w:val="19"/>
              </w:rPr>
              <w:t xml:space="preserve">per GB, per anno</w:t>
            </w:r>
          </w:p>
        </w:tc>
        <w:tc>
          <w:tcPr>
            <w:tcW w:type="dxa" w:w="1542"/>
            <w:shd w:fill="EAF1F9" w:color="auto" w:val="clear"/>
            <w:tcMar>
              <w:top w:type="dxa" w:w="35"/>
              <w:left w:type="dxa" w:w="100"/>
              <w:bottom w:type="dxa" w:w="35"/>
              <w:right w:type="dxa" w:w="100"/>
            </w:tcMar>
            <w:vAlign w:val="center"/>
          </w:tcPr>
          <w:p>
            <w:pPr>
              <w:spacing w:after="0" w:before="0"/>
            </w:pPr>
            <w:r>
              <w:rPr>
                <w:sz w:val="19"/>
                <w:szCs w:val="19"/>
              </w:rPr>
              <w:t xml:space="preserve">97,00</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Dall'11° al 100° GB</w:t>
            </w:r>
          </w:p>
        </w:tc>
        <w:tc>
          <w:tcPr>
            <w:tcW w:type="dxa" w:w="2120"/>
            <w:tcMar>
              <w:top w:type="dxa" w:w="35"/>
              <w:left w:type="dxa" w:w="100"/>
              <w:bottom w:type="dxa" w:w="35"/>
              <w:right w:type="dxa" w:w="100"/>
            </w:tcMar>
            <w:vAlign w:val="center"/>
          </w:tcPr>
          <w:p>
            <w:pPr>
              <w:spacing w:after="0" w:before="0"/>
            </w:pPr>
            <w:r>
              <w:rPr>
                <w:sz w:val="19"/>
                <w:szCs w:val="19"/>
              </w:rPr>
              <w:t xml:space="preserve">per GB, per anno</w:t>
            </w:r>
          </w:p>
        </w:tc>
        <w:tc>
          <w:tcPr>
            <w:tcW w:type="dxa" w:w="1542"/>
            <w:tcMar>
              <w:top w:type="dxa" w:w="35"/>
              <w:left w:type="dxa" w:w="100"/>
              <w:bottom w:type="dxa" w:w="35"/>
              <w:right w:type="dxa" w:w="100"/>
            </w:tcMar>
            <w:vAlign w:val="center"/>
          </w:tcPr>
          <w:p>
            <w:pPr>
              <w:spacing w:after="0" w:before="0"/>
            </w:pPr>
            <w:r>
              <w:rPr>
                <w:sz w:val="19"/>
                <w:szCs w:val="19"/>
              </w:rPr>
              <w:t xml:space="preserve">73,00</w:t>
            </w:r>
          </w:p>
        </w:tc>
      </w:tr>
      <w:tr>
        <w:trPr>
          <w:cantSplit/>
          <w:tblHeader w:val="false"/>
        </w:trPr>
        <w:tc>
          <w:tcPr>
            <w:tcW w:type="dxa" w:w="5976"/>
            <w:shd w:fill="EAF1F9" w:color="auto" w:val="clear"/>
            <w:tcMar>
              <w:top w:type="dxa" w:w="35"/>
              <w:left w:type="dxa" w:w="100"/>
              <w:bottom w:type="dxa" w:w="35"/>
              <w:right w:type="dxa" w:w="100"/>
            </w:tcMar>
            <w:vAlign w:val="center"/>
          </w:tcPr>
          <w:p>
            <w:pPr>
              <w:spacing w:after="0" w:before="0"/>
            </w:pPr>
            <w:r>
              <w:rPr>
                <w:sz w:val="19"/>
                <w:szCs w:val="19"/>
              </w:rPr>
              <w:t xml:space="preserve">Oltre 100 GB</w:t>
            </w:r>
          </w:p>
        </w:tc>
        <w:tc>
          <w:tcPr>
            <w:tcW w:type="dxa" w:w="2120"/>
            <w:shd w:fill="EAF1F9" w:color="auto" w:val="clear"/>
            <w:tcMar>
              <w:top w:type="dxa" w:w="35"/>
              <w:left w:type="dxa" w:w="100"/>
              <w:bottom w:type="dxa" w:w="35"/>
              <w:right w:type="dxa" w:w="100"/>
            </w:tcMar>
            <w:vAlign w:val="center"/>
          </w:tcPr>
          <w:p>
            <w:pPr>
              <w:spacing w:after="0" w:before="0"/>
            </w:pPr>
            <w:r>
              <w:rPr>
                <w:sz w:val="19"/>
                <w:szCs w:val="19"/>
              </w:rPr>
              <w:t xml:space="preserve">per GB, per anno</w:t>
            </w:r>
          </w:p>
        </w:tc>
        <w:tc>
          <w:tcPr>
            <w:tcW w:type="dxa" w:w="1542"/>
            <w:shd w:fill="EAF1F9" w:color="auto" w:val="clear"/>
            <w:tcMar>
              <w:top w:type="dxa" w:w="35"/>
              <w:left w:type="dxa" w:w="100"/>
              <w:bottom w:type="dxa" w:w="35"/>
              <w:right w:type="dxa" w:w="100"/>
            </w:tcMar>
            <w:vAlign w:val="center"/>
          </w:tcPr>
          <w:p>
            <w:pPr>
              <w:spacing w:after="0" w:before="0"/>
            </w:pPr>
            <w:r>
              <w:rPr>
                <w:sz w:val="19"/>
                <w:szCs w:val="19"/>
              </w:rPr>
              <w:t xml:space="preserve">53,00</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Prolungamento oltre i 3 anni</w:t>
            </w:r>
          </w:p>
        </w:tc>
        <w:tc>
          <w:tcPr>
            <w:tcW w:type="dxa" w:w="2120"/>
            <w:tcMar>
              <w:top w:type="dxa" w:w="35"/>
              <w:left w:type="dxa" w:w="100"/>
              <w:bottom w:type="dxa" w:w="35"/>
              <w:right w:type="dxa" w:w="100"/>
            </w:tcMar>
            <w:vAlign w:val="center"/>
          </w:tcPr>
          <w:p>
            <w:pPr>
              <w:spacing w:after="0" w:before="0"/>
            </w:pPr>
            <w:r>
              <w:rPr>
                <w:sz w:val="19"/>
                <w:szCs w:val="19"/>
              </w:rPr>
              <w:t xml:space="preserve">per anno</w:t>
            </w:r>
          </w:p>
        </w:tc>
        <w:tc>
          <w:tcPr>
            <w:tcW w:type="dxa" w:w="1542"/>
            <w:tcMar>
              <w:top w:type="dxa" w:w="35"/>
              <w:left w:type="dxa" w:w="100"/>
              <w:bottom w:type="dxa" w:w="35"/>
              <w:right w:type="dxa" w:w="100"/>
            </w:tcMar>
            <w:vAlign w:val="center"/>
          </w:tcPr>
          <w:p>
            <w:pPr>
              <w:spacing w:after="0" w:before="0"/>
            </w:pPr>
            <w:r>
              <w:rPr>
                <w:sz w:val="19"/>
                <w:szCs w:val="19"/>
              </w:rPr>
              <w:t xml:space="preserve">stesso canone annuale</w:t>
            </w:r>
          </w:p>
        </w:tc>
      </w:tr>
    </w:tbl>
    <w:p>
      <w:pPr>
        <w:spacing w:after="120"/>
      </w:pPr>
    </w:p>
    <w:p>
      <w:pPr>
        <w:keepNext w:val="false"/>
        <w:keepLines w:val="false"/>
        <w:spacing w:after="120" w:line="276"/>
        <w:jc w:val="both"/>
      </w:pPr>
      <w:r>
        <w:t xml:space="preserve">Le fasce sono progressive: ogni fascia si applica solo ai GB che vi rientrano. Esempio: spazio occupato 3,4 GB, arrotondato a 4 GB = 130 + 3 × 97 = 421 € per anno. Finché lo spazio resta entro 100 MB il Cliente paga solo il Pacchetto.</w:t>
      </w:r>
    </w:p>
    <w:p>
      <w:pPr>
        <w:keepNext/>
        <w:keepLines/>
        <w:spacing w:after="120" w:line="276"/>
        <w:jc w:val="both"/>
      </w:pPr>
      <w:r>
        <w:rPr>
          <w:b/>
          <w:bCs/>
        </w:rPr>
        <w:t xml:space="preserve">Servizi su richiesta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Servizio</w:t>
            </w:r>
          </w:p>
        </w:tc>
        <w:tc>
          <w:tcPr>
            <w:tcW w:type="dxa" w:w="212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Esibizione oltre le 6 comprese, o dopo la fine del Contratto</w:t>
            </w:r>
          </w:p>
        </w:tc>
        <w:tc>
          <w:tcPr>
            <w:tcW w:type="dxa" w:w="2120"/>
            <w:tcMar>
              <w:top w:type="dxa" w:w="35"/>
              <w:left w:type="dxa" w:w="100"/>
              <w:bottom w:type="dxa" w:w="35"/>
              <w:right w:type="dxa" w:w="100"/>
            </w:tcMar>
            <w:vAlign w:val="center"/>
          </w:tcPr>
          <w:p>
            <w:pPr>
              <w:spacing w:after="0" w:before="0"/>
            </w:pPr>
            <w:r>
              <w:rPr>
                <w:sz w:val="19"/>
                <w:szCs w:val="19"/>
              </w:rPr>
              <w:t xml:space="preserve">per richiesta</w:t>
            </w:r>
          </w:p>
        </w:tc>
        <w:tc>
          <w:tcPr>
            <w:tcW w:type="dxa" w:w="1542"/>
            <w:tcMar>
              <w:top w:type="dxa" w:w="35"/>
              <w:left w:type="dxa" w:w="100"/>
              <w:bottom w:type="dxa" w:w="35"/>
              <w:right w:type="dxa" w:w="100"/>
            </w:tcMar>
            <w:vAlign w:val="center"/>
          </w:tcPr>
          <w:p>
            <w:pPr>
              <w:spacing w:after="0" w:before="0"/>
            </w:pPr>
            <w:r>
              <w:rPr>
                <w:sz w:val="19"/>
                <w:szCs w:val="19"/>
              </w:rPr>
              <w:t xml:space="preserve">60,00</w:t>
            </w:r>
          </w:p>
        </w:tc>
      </w:tr>
      <w:tr>
        <w:trPr>
          <w:cantSplit/>
          <w:tblHeader w:val="false"/>
        </w:trPr>
        <w:tc>
          <w:tcPr>
            <w:tcW w:type="dxa" w:w="5976"/>
            <w:shd w:fill="EAF1F9" w:color="auto" w:val="clear"/>
            <w:tcMar>
              <w:top w:type="dxa" w:w="35"/>
              <w:left w:type="dxa" w:w="100"/>
              <w:bottom w:type="dxa" w:w="35"/>
              <w:right w:type="dxa" w:w="100"/>
            </w:tcMar>
            <w:vAlign w:val="center"/>
          </w:tcPr>
          <w:p>
            <w:pPr>
              <w:spacing w:after="0" w:before="0"/>
            </w:pPr>
            <w:r>
              <w:rPr>
                <w:sz w:val="19"/>
                <w:szCs w:val="19"/>
              </w:rPr>
              <w:t xml:space="preserve">Esibizione urgente (entro 1 giorno lavorativo)</w:t>
            </w:r>
          </w:p>
        </w:tc>
        <w:tc>
          <w:tcPr>
            <w:tcW w:type="dxa" w:w="2120"/>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542"/>
            <w:shd w:fill="EAF1F9" w:color="auto" w:val="clear"/>
            <w:tcMar>
              <w:top w:type="dxa" w:w="35"/>
              <w:left w:type="dxa" w:w="100"/>
              <w:bottom w:type="dxa" w:w="35"/>
              <w:right w:type="dxa" w:w="100"/>
            </w:tcMar>
            <w:vAlign w:val="center"/>
          </w:tcPr>
          <w:p>
            <w:pPr>
              <w:spacing w:after="0" w:before="0"/>
            </w:pPr>
            <w:r>
              <w:rPr>
                <w:sz w:val="19"/>
                <w:szCs w:val="19"/>
              </w:rPr>
              <w:t xml:space="preserve">120,00</w:t>
            </w:r>
          </w:p>
        </w:tc>
      </w:tr>
      <w:tr>
        <w:trPr>
          <w:cantSplit/>
          <w:tblHeader w:val="false"/>
        </w:trPr>
        <w:tc>
          <w:tcPr>
            <w:tcW w:type="dxa" w:w="5976"/>
            <w:tcMar>
              <w:top w:type="dxa" w:w="35"/>
              <w:left w:type="dxa" w:w="100"/>
              <w:bottom w:type="dxa" w:w="35"/>
              <w:right w:type="dxa" w:w="100"/>
            </w:tcMar>
            <w:vAlign w:val="center"/>
          </w:tcPr>
          <w:p>
            <w:pPr>
              <w:spacing w:after="0" w:before="0"/>
            </w:pPr>
            <w:r>
              <w:rPr>
                <w:sz w:val="19"/>
                <w:szCs w:val="19"/>
              </w:rPr>
              <w:t xml:space="preserve">Attività extra (integrazione, formazione, supporto oltre il primo livello)</w:t>
            </w:r>
          </w:p>
        </w:tc>
        <w:tc>
          <w:tcPr>
            <w:tcW w:type="dxa" w:w="2120"/>
            <w:tcMar>
              <w:top w:type="dxa" w:w="35"/>
              <w:left w:type="dxa" w:w="100"/>
              <w:bottom w:type="dxa" w:w="35"/>
              <w:right w:type="dxa" w:w="100"/>
            </w:tcMar>
            <w:vAlign w:val="center"/>
          </w:tcPr>
          <w:p>
            <w:pPr>
              <w:spacing w:after="0" w:before="0"/>
            </w:pPr>
            <w:r>
              <w:rPr>
                <w:sz w:val="19"/>
                <w:szCs w:val="19"/>
              </w:rPr>
              <w:t xml:space="preserve">per ora</w:t>
            </w:r>
          </w:p>
        </w:tc>
        <w:tc>
          <w:tcPr>
            <w:tcW w:type="dxa" w:w="1542"/>
            <w:tcMar>
              <w:top w:type="dxa" w:w="35"/>
              <w:left w:type="dxa" w:w="100"/>
              <w:bottom w:type="dxa" w:w="35"/>
              <w:right w:type="dxa" w:w="100"/>
            </w:tcMar>
            <w:vAlign w:val="center"/>
          </w:tcPr>
          <w:p>
            <w:pPr>
              <w:spacing w:after="0" w:before="0"/>
            </w:pPr>
            <w:r>
              <w:rPr>
                <w:sz w:val="19"/>
                <w:szCs w:val="19"/>
              </w:rPr>
              <w:t xml:space="preserve">50,00</w:t>
            </w:r>
          </w:p>
        </w:tc>
      </w:tr>
      <w:tr>
        <w:trPr>
          <w:cantSplit/>
          <w:tblHeader w:val="false"/>
        </w:trPr>
        <w:tc>
          <w:tcPr>
            <w:tcW w:type="dxa" w:w="5976"/>
            <w:shd w:fill="EAF1F9" w:color="auto" w:val="clear"/>
            <w:tcMar>
              <w:top w:type="dxa" w:w="35"/>
              <w:left w:type="dxa" w:w="100"/>
              <w:bottom w:type="dxa" w:w="35"/>
              <w:right w:type="dxa" w:w="100"/>
            </w:tcMar>
            <w:vAlign w:val="center"/>
          </w:tcPr>
          <w:p>
            <w:pPr>
              <w:spacing w:after="0" w:before="0"/>
            </w:pPr>
            <w:r>
              <w:rPr>
                <w:sz w:val="19"/>
                <w:szCs w:val="19"/>
              </w:rPr>
              <w:t xml:space="preserve">Integrazione API REST con il gestionale rifiuti del Cliente</w:t>
            </w:r>
          </w:p>
        </w:tc>
        <w:tc>
          <w:tcPr>
            <w:tcW w:type="dxa" w:w="2120"/>
            <w:shd w:fill="EAF1F9" w:color="auto" w:val="clear"/>
            <w:tcMar>
              <w:top w:type="dxa" w:w="35"/>
              <w:left w:type="dxa" w:w="100"/>
              <w:bottom w:type="dxa" w:w="35"/>
              <w:right w:type="dxa" w:w="100"/>
            </w:tcMar>
            <w:vAlign w:val="center"/>
          </w:tcPr>
          <w:p>
            <w:pPr>
              <w:spacing w:after="0" w:before="0"/>
            </w:pPr>
            <w:r>
              <w:rPr>
                <w:sz w:val="19"/>
                <w:szCs w:val="19"/>
              </w:rPr>
              <w:t xml:space="preserve">una tantum</w:t>
            </w:r>
          </w:p>
        </w:tc>
        <w:tc>
          <w:tcPr>
            <w:tcW w:type="dxa" w:w="1542"/>
            <w:shd w:fill="EAF1F9" w:color="auto" w:val="clear"/>
            <w:tcMar>
              <w:top w:type="dxa" w:w="35"/>
              <w:left w:type="dxa" w:w="100"/>
              <w:bottom w:type="dxa" w:w="35"/>
              <w:right w:type="dxa" w:w="100"/>
            </w:tcMar>
            <w:vAlign w:val="center"/>
          </w:tcPr>
          <w:p>
            <w:pPr>
              <w:spacing w:after="0" w:before="0"/>
            </w:pPr>
            <w:r>
              <w:rPr>
                <w:sz w:val="19"/>
                <w:szCs w:val="19"/>
              </w:rPr>
              <w:t xml:space="preserve">da preventivare</w:t>
            </w:r>
          </w:p>
        </w:tc>
      </w:tr>
    </w:tbl>
    <w:p>
      <w:pPr>
        <w:spacing w:after="120"/>
      </w:pPr>
    </w:p>
    <w:p>
      <w:pPr>
        <w:keepNext/>
        <w:keepLines/>
        <w:spacing w:after="120" w:line="276"/>
        <w:jc w:val="both"/>
      </w:pPr>
      <w:r>
        <w:rPr>
          <w:b/>
          <w:bCs/>
        </w:rPr>
        <w:t xml:space="preserve">Altri servizi, solo in casi particolari</w:t>
      </w:r>
    </w:p>
    <w:p>
      <w:pPr>
        <w:keepNext w:val="false"/>
        <w:keepLines w:val="false"/>
        <w:spacing w:after="120" w:line="276"/>
        <w:jc w:val="both"/>
      </w:pPr>
      <w:r>
        <w:t xml:space="preserve">Nell'uso normale non servono: alla fine dei 3 anni i documenti vengono eliminati in automatico e senza costi.</w:t>
      </w:r>
    </w:p>
    <w:p>
      <w:pPr>
        <w:pStyle w:val="ListParagraph"/>
        <w:numPr>
          <w:ilvl w:val="0"/>
          <w:numId w:val="3"/>
        </w:numPr>
        <w:spacing w:after="80" w:line="276"/>
        <w:jc w:val="both"/>
      </w:pPr>
      <w:r>
        <w:rPr>
          <w:b/>
          <w:bCs/>
        </w:rPr>
        <w:t xml:space="preserve">Trasferimento ad altro conservatore</w:t>
      </w:r>
      <w:r>
        <w:t xml:space="preserve">, se il Cliente decide di spostare i propri documenti: 290 € a richiesta più 90 € per GB.</w:t>
      </w:r>
    </w:p>
    <w:p>
      <w:pPr>
        <w:pStyle w:val="ListParagraph"/>
        <w:numPr>
          <w:ilvl w:val="0"/>
          <w:numId w:val="3"/>
        </w:numPr>
        <w:spacing w:after="80" w:line="276"/>
        <w:jc w:val="both"/>
      </w:pPr>
      <w:r>
        <w:rPr>
          <w:b/>
          <w:bCs/>
        </w:rPr>
        <w:t xml:space="preserve">Cancellazione anticipata</w:t>
      </w:r>
      <w:r>
        <w:t xml:space="preserve">,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42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42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2026-10-09T12:40:29.583Z</dcterms:created>
  <dcterms:modified xsi:type="dcterms:W3CDTF">2026-10-09T12:40:29.583Z</dcterms:modified>
</cp:coreProperties>
</file>

<file path=docProps/custom.xml><?xml version="1.0" encoding="utf-8"?>
<Properties xmlns="http://schemas.openxmlformats.org/officeDocument/2006/custom-properties" xmlns:vt="http://schemas.openxmlformats.org/officeDocument/2006/docPropsVTypes"/>
</file>