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202548"/>
          <w:sz w:val="40"/>
          <w:szCs w:val="40"/>
        </w:rPr>
        <w:t xml:space="preserve">BetMap — Domande per avviare lo sviluppo</w:t>
      </w:r>
    </w:p>
    <w:p>
      <w:pPr>
        <w:spacing w:after="120"/>
      </w:pPr>
      <w:r>
        <w:rPr>
          <w:rFonts w:ascii="Calibri" w:cs="Calibri" w:eastAsia="Calibri" w:hAnsi="Calibri"/>
          <w:color w:val="66708E"/>
          <w:sz w:val="21"/>
          <w:szCs w:val="21"/>
        </w:rPr>
        <w:t xml:space="preserve">6 ottobre 2026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Queste 81 domande chiudono i punti aperti e confermano le scelte proposte della specifica tecnica e del preventivo. Per ognuna c’è una proposta: se va bene scrivere «ok» nella colonna Risposta, altrimenti la scelta.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La colonna Blocca dice da quando serve la risposta. Le prime da chiudere sono quelle segnate preventivo, B0 e B2: senza di loro non si firma e non si parte. Le domande per Silvio sono nella sezione 4.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294B9B"/>
          <w:sz w:val="28"/>
          <w:szCs w:val="28"/>
        </w:rPr>
        <w:t xml:space="preserve">1 · Contratto, preventivo e squadra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100"/>
        <w:gridCol w:w="3100"/>
        <w:gridCol w:w="1000"/>
        <w:gridCol w:w="3438"/>
      </w:tblGrid>
      <w:tr>
        <w:trPr>
          <w:tblHeader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Domanda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Perché serve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Blocca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Risposta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Qual è la tariffa giornaliera da usare?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 450 €/gg del preventivo sono un segnaposto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preventivo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Forma del contratto: a corpo, a consuntivo o misto?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B4, B7 e B5 dipendono da file e decisioni non ancora disponibili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B0–B3 + B6 a corpo; B4, B7, B5 a consuntivo con tetto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preventivo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Chi è il committente che firma e chi approva le milestone (ruolo PO)?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Ogni milestone si chiude con l’approvazione del PO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Il titolare del progetto Gioco Legale Italia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preventivo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Chi sviluppa: nostro team, sviluppatori esterni o misto? Quante persone?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Il calendario (3 mesi prima versione, 6 totale) presuppone una persona a tempo pieno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1 sviluppatore + 1 revisore part-time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preventivo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C’è una data di avvio o una scadenza vincolante (lancio commerciale, fiera, primo cliente)?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Decide se servono più persone in parallelo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Avvio dopo la firma, nessuna scadenza fissa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preventivo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Il preventivo include manutenzione e assistenza dopo il rilascio? Con quale formula?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Va scritto nell’offerta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Canone di 1–2 gg/mese, nuove funzioni a preventivo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preventivo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Gli account dei servizi (Cloudflare, Neon, Google Cloud, Stripe, tessere mappa) sono intestati al cliente o a noi con rifatturazione?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Cambia chi paga e chi amministra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Intestati al cliente; noi con accesso tecnico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B0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Il codice resta su git.be-devops.it e di chi è la proprietà intellettuale?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Clausola contrattuale e accessi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Repository attuale; proprietà al cliente al saldo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preventivo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294B9B"/>
          <w:sz w:val="28"/>
          <w:szCs w:val="28"/>
        </w:rPr>
        <w:t xml:space="preserve">2 · Governance, gate e clienti target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100"/>
        <w:gridCol w:w="3100"/>
        <w:gridCol w:w="1000"/>
        <w:gridCol w:w="3438"/>
      </w:tblGrid>
      <w:tr>
        <w:trPr>
          <w:tblHeader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Domanda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Perché serve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Blocca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Risposta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Chi ricopre i ruoli dei gate: DATA-ARCH, SEC, LEGAL, BRAND? Persone nostre, del cliente o consulenti?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B1, B2, B4, B5, B7 non si chiudono senza il loro via libera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DATA-ARCH e SEC interni; LEGAL e BRAND del cliente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B1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Con che tempi rispondono i gate?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Il calendario parte dalla chiusura del gate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Massimo 5 giorni lavorativi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B1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Chi è Silvio e che ruolo ha nel progetto?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Lo citiamo come riferimento per la Camera di Commercio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B4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Chi sono i primi clienti: concessionari, gestori, reti commerciali o agenti singoli?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Cambia cosa serve prima in B2 e B4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B2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Quante aziende e quanti utenti al lancio e a 12 mesi?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Dimensiona Neon, Hyperdrive e i costi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5 aziende / 50 utenti al lancio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B0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Quanti locali per azienda e quante province, in media?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Dimensiona mappa, paginazione e piani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2.000 locali, 3 province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B1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294B9B"/>
          <w:sz w:val="28"/>
          <w:szCs w:val="28"/>
        </w:rPr>
        <w:t xml:space="preserve">3 · Utenti, accessi e permessi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100"/>
        <w:gridCol w:w="3100"/>
        <w:gridCol w:w="1000"/>
        <w:gridCol w:w="3438"/>
      </w:tblGrid>
      <w:tr>
        <w:trPr>
          <w:tblHeader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Domanda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Perché serve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Blocca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Risposta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Serve il livello «responsabile di zona» fra amministratore e agenti?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Cambia permessi e RLS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No al lancio; lo schema lo permette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B2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16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Un agente può vedere il lavoro di altri agenti della stessa azienda, se l’azienda lo sceglie?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La specifica dice «salvo scelta dell’azienda»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Sì, interruttore per azienda, spento di default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B2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17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Un agente può esportare i propri dati (CSV, copia completa)?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Nella prova chiunque esporta; con le aziende è un tema di proprietà dei dati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Solo CSV dei locali assegnati, senza referenti, se l’azienda lo abilita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B2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18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Metodi di accesso: codice via email, password, o entrambi? Serve l’accesso con Google o Microsoft?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Configurazione di Better Auth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Codice via email + password; niente accesso social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B2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19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Serve il secondo fattore per gli amministratori?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Gli amministratori vedono i dati di tutta la rete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Sì, codice via app di autenticazione, facoltativo per gli agenti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B2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20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Durata della sessione sul telefono?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L’agente non deve rifare l’accesso in strada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30 giorni, rinnovata a ogni uso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B2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21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Quale servizio usiamo per inviare codici e inviti via email, e con quale indirizzo mittente?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Serve un fornitore con accordo di trattamento dati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Fornitore UE; mittente noreply@ del dominio pubblico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B2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22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Un utente può lavorare per più aziende con lo stesso account?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Agenti autonomi con più mandati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Sì, con cambio azienda da Strumenti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B2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23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Accesso di assistenza della piattaforma: approvazione dell’amministratore e durata massima 72 ore vanno bene?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Trasparenza e GDPR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Sì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B4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24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L’agente vede l’elenco degli accessi dell’amministratore che lo riguardano?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Informativa art. 4 L. 300/1970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Sì, da validare con LEGAL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B2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294B9B"/>
          <w:sz w:val="28"/>
          <w:szCs w:val="28"/>
        </w:rPr>
        <w:t xml:space="preserve">4 · Fonti dati: RIES, Albo PVR, Camera di Commercio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D3670"/>
          <w:sz w:val="23"/>
          <w:szCs w:val="23"/>
        </w:rPr>
        <w:t xml:space="preserve">RIES e Albo PVR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100"/>
        <w:gridCol w:w="3100"/>
        <w:gridCol w:w="1000"/>
        <w:gridCol w:w="3438"/>
      </w:tblGrid>
      <w:tr>
        <w:trPr>
          <w:tblHeader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Domanda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Perché serve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Blocca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Risposta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25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Abbiamo il file RIES o almeno un campione? In che formato (CSV, Excel, altro) e con quali colonne?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Il mappatore si scrive sulle colonne reali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Un campione di una provincia, anche parziale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B4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26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Come si ottiene il RIES: richiesta ad ADM, scarico pubblico, fornitore? Con quale licenza d’uso e ogni quanto si aggiorna?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Decide automazione e liceità del riuso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Mensile, import manuale dal pannello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B4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27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«Tutti i locali»: tutta Italia nella base comune, ma ogni azienda vede solo le sue province abilitate?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Le province sono la leva commerciale (D-029)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Sì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B4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28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Albo PVR: dove si scarica, in che formato, ogni quanto si aggiorna?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Non è ancora una fonte prevista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B4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29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Dall’Albo PVR cosa serve: solo sapere che un esercizio è un PVR, o anche il concessionario?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Cambia i campi da importare e da mostrare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Esistenza del PVR + concessionario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B4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30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 dati delle ditte individuali (nome del titolare, codice fiscale) si possono mostrare ai clienti?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Dati personali: gate LEGAL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Si importano, ma si mostrano solo insegna e indirizzo finché LEGAL non decide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B4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D3670"/>
          <w:sz w:val="23"/>
          <w:szCs w:val="23"/>
        </w:rPr>
        <w:t xml:space="preserve">Camera di Commercio — da chiedere a Silvio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100"/>
        <w:gridCol w:w="3100"/>
        <w:gridCol w:w="1000"/>
        <w:gridCol w:w="3438"/>
      </w:tblGrid>
      <w:tr>
        <w:trPr>
          <w:tblHeader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Domanda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Perché serve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Blocca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Risposta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31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Da quale canale arrivano i dati: InfoCamere/Registro Imprese, un fornitore privato, un’estrazione su richiesta?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Decide se è un file o un servizio da integrare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B4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32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Quanto costa: canone fisso, a record, a estrazione?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Va nei costi ricorrenti del cliente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preventivo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33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In che formato arrivano e con quali campi (REA, insegna, unità locali, ATECO, stato attività)?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Mappatore e deduplica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B4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34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Quali codici ATECO estraiamo (bar, tabaccherie, attività di gioco, altri)?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Filtra solo gli esercizi utili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Da definire con Silvio sulla classificazione in vigore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B4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35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La licenza permette di mostrare i dati a tutti i clienti BetMap, o solo a chi li ha acquistati?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Base comune o dato privato dell’azienda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B4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36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Ogni quanto si possono aggiornare?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Gestione dei cessati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Trimestrale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B4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D3670"/>
          <w:sz w:val="23"/>
          <w:szCs w:val="23"/>
        </w:rPr>
        <w:t xml:space="preserve">Regole fra fonti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100"/>
        <w:gridCol w:w="3100"/>
        <w:gridCol w:w="1000"/>
        <w:gridCol w:w="3438"/>
      </w:tblGrid>
      <w:tr>
        <w:trPr>
          <w:tblHeader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Domanda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Perché serve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Blocca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Risposta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37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Se le fonti non concordano su nome o indirizzo, quale vince?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La scheda mostra un solo nome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RIES &gt; Camera di Commercio &gt; PVR &gt; OpenStreetMap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B4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38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Su quale comune campione tariamo la deduplica?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Pesi e soglie sono proposte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Un capoluogo con molti esercizi, scelto dal titolare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B4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39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Quando un locale sparisce dal RIES, va avvisata l’azienda che lo segue?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Oggi la proposta è solo un’etichetta nella scheda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Etichetta nella scheda + voce in «Oggi» una volta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B4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294B9B"/>
          <w:sz w:val="28"/>
          <w:szCs w:val="28"/>
        </w:rPr>
        <w:t xml:space="preserve">5 · Import da Excel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100"/>
        <w:gridCol w:w="3100"/>
        <w:gridCol w:w="1000"/>
        <w:gridCol w:w="3438"/>
      </w:tblGrid>
      <w:tr>
        <w:trPr>
          <w:tblHeader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Domanda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Perché serve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Blocca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Risposta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40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Ci sono file Excel reali dei clienti (anche anonimizzati) da usare come campione?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Il tracciato va provato su dati veri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Due o tre file di clienti diversi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B3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41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Le colonne del tracciato locali-v1 (specifica §10.7) vanno bene? Ne mancano? (es. codice cliente, concessionario attuale, data ultima visita)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Il tracciato si fissa prima di B3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Come in specifica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B3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42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Si importa anche lo storico pregresso (contatti, visite, note con data) o solo l’anagrafica?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Lo storico importato deve restare immutabile e datato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Solo anagrafica + fase + apparecchi; storico in un secondo tracciato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B3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43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Si possono assegnare i locali agli agenti dal file (colonna email dell’agente)?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Evita assegnazioni a mano su migliaia di righe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Sì, colonna agente_email facoltativa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B3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44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Reimportando lo stesso locale, il file sovrascrive i dati già in BetMap o aggiunge solo i campi vuoti?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Rischio di cancellare il lavoro degli agenti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Aggiorna solo i campi vuoti; la fase non torna mai indietro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B3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45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Chi può importare: solo l’amministratore o anche l’agente?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Permessi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Solo l’amministratore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B3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46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Limite di 20.000 righe per file va bene?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Limiti del Worker e tempi di revisione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Sì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B3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294B9B"/>
          <w:sz w:val="28"/>
          <w:szCs w:val="28"/>
        </w:rPr>
        <w:t xml:space="preserve">6 · Google e motore delle distanze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100"/>
        <w:gridCol w:w="3100"/>
        <w:gridCol w:w="1000"/>
        <w:gridCol w:w="3438"/>
      </w:tblGrid>
      <w:tr>
        <w:trPr>
          <w:tblHeader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Domanda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Perché serve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Blocca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Risposta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47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Accettiamo di usare Google solo al momento (ricerca e verifica) senza salvarne i dati nella base, tranne l’identificativo del luogo?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 termini d’uso lo richiedono (stima 85%); ribalta la decisione R-030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Sì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B7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48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Oppure vuoi la mappa Google al posto di OpenStreetMap?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Permetterebbe di mostrare i dati Google, ma cambia architettura e costi (non stimato)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B7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49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Chi apre l’account Google Cloud e ne paga la fatturazione?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Serve per la chiave API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Il cliente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B7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50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Tetto di spesa Google: quanto al mese in totale e per singola azienda?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Evita bollette a sorpresa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Da fissare dopo una stima dei volumi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B7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51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Google attivo per tutte le aziende o solo per i piani a pagamento?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Leva commerciale (D-029)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Solo piani a pagamento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B7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52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Esiste una fonte delle regole di distanza per regione e comune (D-026.3)? Chi le inserisce e verifica?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Senza regole il motore risponde «regola mancante»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La piattaforma le inserisce, con fonte e stato «verificata»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B7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53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Da quali regioni o comuni partiamo?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Priorità di popolamento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Le regioni dei primi clienti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B7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54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Le 9 categorie di luoghi sensibili bastano (scuole, culto, sanità, sociale, sport, giochi, banche, compro oro, stazioni)? Ne mancano?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Ogni norma locale ha il suo elenco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Sì, estendibili dal pannello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B7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55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Misura predefinita: linea d’aria o percorso a piedi?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Il percorso a piedi usa Google Routes, a pagamento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Quella indicata dalla regola; linea d’aria se la regola non lo dice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B7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56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La verifica si venderà come servizio ai clienti?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Serve un parere legale prima (responsabilità contrattuale)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Solo dopo il parere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B7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57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Per passare a Cliente resta obbligatoria la conferma sulle distanze (D-027.3, provvisoria)?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Il flusso è nel codice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Sì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B3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58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 luoghi sensibili segnati a mano da un’azienda restano solo suoi o, dopo revisione, entrano nella base comune?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Arricchisce la base, ma è lavoro del cliente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Solo dell’azienda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B7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294B9B"/>
          <w:sz w:val="28"/>
          <w:szCs w:val="28"/>
        </w:rPr>
        <w:t xml:space="preserve">7 · App, mappa e prodotto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100"/>
        <w:gridCol w:w="3100"/>
        <w:gridCol w:w="1000"/>
        <w:gridCol w:w="3438"/>
      </w:tblGrid>
      <w:tr>
        <w:trPr>
          <w:tblHeader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Domanda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Perché serve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Blocca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Risposta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59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Quale fornitore di tessere della mappa in produzione, e con quale budget?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 server gratuiti di OpenStreetMap non ammettono un uso commerciale intenso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Fornitore a pagamento con piano base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B6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60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Le viste «strade» e «satellite» della prova servono anche nella nuova versione? Da quali fornitori arrivano oggi?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Licenze e costi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Sì, stessi fornitori se la licenza lo permette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B3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61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Servono notifiche push vere (promemoria ad app chiusa)?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Su iPhone richiedono l’app installata sulla schermata Home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No al lancio; avvisi solo ad app aperta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B3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62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Serve una modalità senza rete (cantine, campagna)? Per quando?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È un lavoro grosso, non stimato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Dopo B6, se le prove sul campo lo chiedono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dopo B6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63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Qual è il nome pubblico del prodotto e il dominio definitivo? «BetMap» era stato scartato come marchio (D-016)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Pagine di vendita, email, B5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Si decide con BRAND; betmap.it resta fino ad allora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B5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294B9B"/>
          <w:sz w:val="28"/>
          <w:szCs w:val="28"/>
        </w:rPr>
        <w:t xml:space="preserve">8 · Pagamenti e fatturazione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100"/>
        <w:gridCol w:w="3100"/>
        <w:gridCol w:w="1000"/>
        <w:gridCol w:w="3438"/>
      </w:tblGrid>
      <w:tr>
        <w:trPr>
          <w:tblHeader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Domanda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Perché serve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Blocca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Risposta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64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Piani e prezzi: cosa è gratis e cosa a pagamento, e su cosa si paga (per azienda, per provincia, per agente)? (D-029)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Senza piani B5 non parte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Gratis il lavoro sui propri locali; a pagamento province con base lavorata e Google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B5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65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Quale sistema emette le fatture del titolare (D-008) e come riceve i dati: API, file, email?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Stripe non emette la fattura elettronica italiana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B5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66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Se un pagamento fallisce, per quanti giorni il cliente continua a lavorare? Serve un periodo di prova gratuito?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Regole dei webhook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14 giorni di tolleranza; prova di 30 giorni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B5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294B9B"/>
          <w:sz w:val="28"/>
          <w:szCs w:val="28"/>
        </w:rPr>
        <w:t xml:space="preserve">9 · Infrastruttura, account e dati della prova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100"/>
        <w:gridCol w:w="3100"/>
        <w:gridCol w:w="1000"/>
        <w:gridCol w:w="3438"/>
      </w:tblGrid>
      <w:tr>
        <w:trPr>
          <w:tblHeader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Domanda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Perché serve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Proposta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Blocca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Risposta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67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Chi crea il progetto Neon e l’account Cloudflare, e come ci passa gli accessi senza mandare password in chat?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B0 non parte senza; il wrangler.jsonc dice che lo crea il titolare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Il titolare crea, invita noi come membri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B0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68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Su git.be-devops.it ci sono runner GitLab CI disponibili per questo progetto?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La pipeline di specifica §15.2 gira lì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Sì, con un token Cloudflare dedicato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B0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69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Per quanti giorni bisogna poter ripristinare il database a un momento passato?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Il piano gratuito di Neon conserva poco storico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7 giorni al lancio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B6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70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Possiamo usare un servizio esterno di raccolta errori (con accordo di trattamento dati)?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Allerta sugli errori in produzione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Sì, fornitore con sede dati in UE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B6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71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Quando possiamo avere la copia dei dati della versione di prova dal computer del titolare?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Il travaso con confronto voce per voce è in B3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All’inizio di B3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B3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72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Posso leggere il codice della versione di prova (riferimento/app-di-prova/)? Serve un clone del repository o l’elenco dei file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La specifica è stata scritta senza leggerlo: alcuni dettagli sono «come nella prova»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Dare accesso al clone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subito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294B9B"/>
          <w:sz w:val="28"/>
          <w:szCs w:val="28"/>
        </w:rPr>
        <w:t xml:space="preserve">10 · Conferme sulle proposte tecniche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Scelte fatte nella specifica dove le fonti non dicevano nulla. Basta un sì o un no; se non sei sicuro, si decidono al gate DATA-ARCH + SEC di B1.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100"/>
        <w:gridCol w:w="3100"/>
        <w:gridCol w:w="1000"/>
        <w:gridCol w:w="3438"/>
      </w:tblGrid>
      <w:tr>
        <w:trPr>
          <w:tblHeader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Proposta da confermare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Sezione della specifica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Blocca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294B9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Risposta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73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PostGIS e pg_trgm su Neon per distanze e somiglianza dei nomi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Calcolo in linea d’aria nel Worker, come nella prova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4, 10, 11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B1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74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Endpoint d’azione dedicati per i flussi su più tabelle, oltre al sync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Tutto dal solo sync, come nella prova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7, 8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B1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75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Nessuna transizione all’indietro dentro Prospect: si chiude con motivo e si riapre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Passo indietro libero con nota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B3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76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File Excel letti nel browser e caricati come CSV normalizzato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Lettura del .xlsx nel Worker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10.1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B3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77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Ruolo di database separato betmap_import per le importazioni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Un solo ruolo applicativo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5.1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B1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78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Chiudendo un prospect i promemoria aperti restano, l’utente decide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Chiusura automatica dei promemoria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9.1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B3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79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Assegnazione per provincia o comune: una sola voce di registro, non una voce di storico per ogni locale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Una voce di storico per locale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9.1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B2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80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Preact per le parti interattive dell’interfaccia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TypeScript senza libreria, come la prova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14.1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B3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E2E"/>
                <w:sz w:val="18"/>
                <w:szCs w:val="18"/>
              </w:rPr>
              <w:t xml:space="preserve">81</w:t>
            </w:r>
          </w:p>
        </w:tc>
        <w:tc>
          <w:tcPr>
            <w:tcW w:type="dxa" w:w="4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Modifiche in conflitto da due dispositivi: nessuna fusione automatica, l’utente reinserisce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Fusione campo per campo</w:t>
            </w:r>
          </w:p>
        </w:tc>
        <w:tc>
          <w:tcPr>
            <w:tcW w:type="dxa" w:w="31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8.3</w:t>
            </w:r>
          </w:p>
        </w:tc>
        <w:tc>
          <w:tcPr>
            <w:tcW w:type="dxa" w:w="1000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>B3</w:t>
            </w:r>
          </w:p>
        </w:tc>
        <w:tc>
          <w:tcPr>
            <w:tcW w:type="dxa" w:w="3438"/>
            <w:tcBorders>
              <w:top w:val="single" w:color="AEB9D4" w:sz="4"/>
              <w:left w:val="single" w:color="AEB9D4" w:sz="4"/>
              <w:bottom w:val="single" w:color="AEB9D4" w:sz="4"/>
              <w:right w:val="single" w:color="AEB9D4" w:sz="4"/>
            </w:tcBorders>
            <w:shd w:fill="FFF6D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E2E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708E"/>
        <w:sz w:val="16"/>
        <w:szCs w:val="16"/>
      </w:rPr>
      <w:t xml:space="preserve">BetMap — Domande · pagina </w:t>
    </w:r>
    <w:r>
      <w:rPr>
        <w:rFonts w:ascii="Calibri" w:cs="Calibri" w:eastAsia="Calibri" w:hAnsi="Calibri"/>
        <w:color w:val="66708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BetMap — Domande per avviare lo sviluppo</dc:title>
  <dc:creator>BetMap</dc:creator>
  <cp:lastModifiedBy>Un-named</cp:lastModifiedBy>
  <cp:revision>1</cp:revision>
  <dcterms:created xsi:type="dcterms:W3CDTF">2026-10-06T10:15:42.472Z</dcterms:created>
  <dcterms:modified xsi:type="dcterms:W3CDTF">2026-10-06T10:15:42.479Z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