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360"/>
        <w:jc w:val="center"/>
      </w:pPr>
      <w:r>
        <w:rPr>
          <w:rFonts w:ascii="Times New Roman" w:cs="Times New Roman" w:eastAsia="Times New Roman" w:hAnsi="Times New Roman"/>
          <w:b/>
          <w:bCs/>
          <w:sz w:val="44"/>
          <w:szCs w:val="44"/>
        </w:rPr>
        <w:t xml:space="preserve">ASSIGNMENT II</w:t>
      </w:r>
    </w:p>
    <w:p>
      <w:pPr>
        <w:spacing w:after="200"/>
        <w:jc w:val="center"/>
      </w:pPr>
      <w:r>
        <w:rPr>
          <w:rFonts w:ascii="Times New Roman" w:cs="Times New Roman" w:eastAsia="Times New Roman" w:hAnsi="Times New Roman"/>
          <w:sz w:val="26"/>
          <w:szCs w:val="26"/>
        </w:rPr>
        <w:t xml:space="preserve">Rancangan Solusi Big Data dan Penerapan Machine Learning untuk Prediksi Risiko Gempa Bumi di Indonesia Menggunakan Data USGS dan BMKG</w:t>
      </w:r>
    </w:p>
    <w:p>
      <w:pPr>
        <w:spacing w:after="1200"/>
      </w:pPr>
    </w:p>
    <w:p>
      <w:pPr>
        <w:spacing w:after="100"/>
        <w:jc w:val="center"/>
      </w:pPr>
      <w:r>
        <w:rPr>
          <w:rFonts w:ascii="Times New Roman" w:cs="Times New Roman" w:eastAsia="Times New Roman" w:hAnsi="Times New Roman"/>
          <w:sz w:val="22"/>
          <w:szCs w:val="22"/>
        </w:rPr>
        <w:t xml:space="preserve">Disusun oleh:</w:t>
      </w:r>
    </w:p>
    <w:p>
      <w:pPr>
        <w:spacing w:after="60"/>
        <w:jc w:val="center"/>
      </w:pPr>
      <w:r>
        <w:rPr>
          <w:rFonts w:ascii="Times New Roman" w:cs="Times New Roman" w:eastAsia="Times New Roman" w:hAnsi="Times New Roman"/>
          <w:b/>
          <w:bCs/>
          <w:sz w:val="24"/>
          <w:szCs w:val="24"/>
        </w:rPr>
        <w:t xml:space="preserve">ANTONIUS BONNI FEBRIANTO</w:t>
      </w:r>
    </w:p>
    <w:p>
      <w:pPr>
        <w:spacing w:after="1200"/>
        <w:jc w:val="center"/>
      </w:pPr>
      <w:r>
        <w:rPr>
          <w:rFonts w:ascii="Times New Roman" w:cs="Times New Roman" w:eastAsia="Times New Roman" w:hAnsi="Times New Roman"/>
          <w:b/>
          <w:bCs/>
          <w:sz w:val="24"/>
          <w:szCs w:val="24"/>
        </w:rPr>
        <w:t xml:space="preserve">2602689613</w:t>
      </w:r>
    </w:p>
    <w:p>
      <w:pPr>
        <w:spacing w:after="60"/>
        <w:jc w:val="center"/>
      </w:pPr>
      <w:r>
        <w:rPr>
          <w:rFonts w:ascii="Times New Roman" w:cs="Times New Roman" w:eastAsia="Times New Roman" w:hAnsi="Times New Roman"/>
          <w:sz w:val="22"/>
          <w:szCs w:val="22"/>
        </w:rPr>
        <w:t xml:space="preserve">COMP8035041 – Big Data Analytics</w:t>
      </w:r>
    </w:p>
    <w:p>
      <w:pPr>
        <w:jc w:val="center"/>
      </w:pPr>
      <w:r>
        <w:rPr>
          <w:rFonts w:ascii="Times New Roman" w:cs="Times New Roman" w:eastAsia="Times New Roman" w:hAnsi="Times New Roman"/>
          <w:sz w:val="22"/>
          <w:szCs w:val="22"/>
        </w:rPr>
        <w:t xml:space="preserve">BINUS UNIVERSITY GRADUATE PROGRAM</w:t>
      </w:r>
    </w:p>
    <w:p>
      <w:r>
        <w:br w:type="page"/>
      </w:r>
    </w:p>
    <w:p>
      <w:pPr>
        <w:pStyle w:val="Heading1"/>
        <w:spacing w:after="240" w:before="240"/>
        <w:jc w:val="center"/>
      </w:pPr>
      <w:r>
        <w:rPr>
          <w:rFonts w:ascii="Times New Roman" w:cs="Times New Roman" w:eastAsia="Times New Roman" w:hAnsi="Times New Roman"/>
          <w:b/>
          <w:bCs/>
          <w:sz w:val="28"/>
          <w:szCs w:val="28"/>
        </w:rPr>
        <w:t xml:space="preserve">DAFTAR ISI</w:t>
      </w:r>
    </w:p>
    <w:p>
      <w:pPr>
        <w:spacing w:after="40" w:line="260"/>
        <w:ind w:left="0"/>
      </w:pPr>
      <w:r>
        <w:rPr>
          <w:rFonts w:ascii="Times New Roman" w:cs="Times New Roman" w:eastAsia="Times New Roman" w:hAnsi="Times New Roman"/>
          <w:sz w:val="22"/>
          <w:szCs w:val="22"/>
        </w:rPr>
        <w:t xml:space="preserve">BAB I PENDAHULUAN</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sz w:val="22"/>
          <w:szCs w:val="22"/>
        </w:rPr>
        <w:t xml:space="preserve">4</w:t>
      </w:r>
    </w:p>
    <w:p>
      <w:pPr>
        <w:spacing w:after="40" w:line="260"/>
        <w:ind w:left="360"/>
      </w:pPr>
      <w:r>
        <w:rPr>
          <w:rFonts w:ascii="Times New Roman" w:cs="Times New Roman" w:eastAsia="Times New Roman" w:hAnsi="Times New Roman"/>
          <w:sz w:val="22"/>
          <w:szCs w:val="22"/>
        </w:rPr>
        <w:t xml:space="preserve">1.1  Latar Belakang Masalah</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sz w:val="22"/>
          <w:szCs w:val="22"/>
        </w:rPr>
        <w:t xml:space="preserve">4</w:t>
      </w:r>
    </w:p>
    <w:p>
      <w:pPr>
        <w:spacing w:after="40" w:line="260"/>
        <w:ind w:left="360"/>
      </w:pPr>
      <w:r>
        <w:rPr>
          <w:rFonts w:ascii="Times New Roman" w:cs="Times New Roman" w:eastAsia="Times New Roman" w:hAnsi="Times New Roman"/>
          <w:sz w:val="22"/>
          <w:szCs w:val="22"/>
        </w:rPr>
        <w:t xml:space="preserve">1.2  Market dan Business Drivers</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sz w:val="22"/>
          <w:szCs w:val="22"/>
        </w:rPr>
        <w:t xml:space="preserve">5</w:t>
      </w:r>
    </w:p>
    <w:p>
      <w:pPr>
        <w:spacing w:after="40" w:line="260"/>
        <w:ind w:left="360"/>
      </w:pPr>
      <w:r>
        <w:rPr>
          <w:rFonts w:ascii="Times New Roman" w:cs="Times New Roman" w:eastAsia="Times New Roman" w:hAnsi="Times New Roman"/>
          <w:sz w:val="22"/>
          <w:szCs w:val="22"/>
        </w:rPr>
        <w:t xml:space="preserve">1.3  Pemangku Kepentingan yang Terlibat</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sz w:val="22"/>
          <w:szCs w:val="22"/>
        </w:rPr>
        <w:t xml:space="preserve">7</w:t>
      </w:r>
    </w:p>
    <w:p>
      <w:pPr>
        <w:spacing w:after="40" w:line="260"/>
        <w:ind w:left="0"/>
      </w:pPr>
      <w:r>
        <w:rPr>
          <w:rFonts w:ascii="Times New Roman" w:cs="Times New Roman" w:eastAsia="Times New Roman" w:hAnsi="Times New Roman"/>
          <w:sz w:val="22"/>
          <w:szCs w:val="22"/>
        </w:rPr>
        <w:t xml:space="preserve">BAB II RANCANGAN SOLUSI BIG DATA</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sz w:val="22"/>
          <w:szCs w:val="22"/>
        </w:rPr>
        <w:t xml:space="preserve">9</w:t>
      </w:r>
    </w:p>
    <w:p>
      <w:pPr>
        <w:spacing w:after="40" w:line="260"/>
        <w:ind w:left="360"/>
      </w:pPr>
      <w:r>
        <w:rPr>
          <w:rFonts w:ascii="Times New Roman" w:cs="Times New Roman" w:eastAsia="Times New Roman" w:hAnsi="Times New Roman"/>
          <w:sz w:val="22"/>
          <w:szCs w:val="22"/>
        </w:rPr>
        <w:t xml:space="preserve">2.1  Metode Pengumpulan Data</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sz w:val="22"/>
          <w:szCs w:val="22"/>
        </w:rPr>
        <w:t xml:space="preserve">10</w:t>
      </w:r>
    </w:p>
    <w:p>
      <w:pPr>
        <w:spacing w:after="40" w:line="260"/>
        <w:ind w:left="360"/>
      </w:pPr>
      <w:r>
        <w:rPr>
          <w:rFonts w:ascii="Times New Roman" w:cs="Times New Roman" w:eastAsia="Times New Roman" w:hAnsi="Times New Roman"/>
          <w:sz w:val="22"/>
          <w:szCs w:val="22"/>
        </w:rPr>
        <w:t xml:space="preserve">2.2  Teknologi Penyimpanan Data</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sz w:val="22"/>
          <w:szCs w:val="22"/>
        </w:rPr>
        <w:t xml:space="preserve">13</w:t>
      </w:r>
    </w:p>
    <w:p>
      <w:pPr>
        <w:spacing w:after="40" w:line="260"/>
        <w:ind w:left="360"/>
      </w:pPr>
      <w:r>
        <w:rPr>
          <w:rFonts w:ascii="Times New Roman" w:cs="Times New Roman" w:eastAsia="Times New Roman" w:hAnsi="Times New Roman"/>
          <w:sz w:val="22"/>
          <w:szCs w:val="22"/>
        </w:rPr>
        <w:t xml:space="preserve">2.3  Processing Framework</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sz w:val="22"/>
          <w:szCs w:val="22"/>
        </w:rPr>
        <w:t xml:space="preserve">15</w:t>
      </w:r>
    </w:p>
    <w:p>
      <w:pPr>
        <w:spacing w:after="40" w:line="260"/>
        <w:ind w:left="0"/>
      </w:pPr>
      <w:r>
        <w:rPr>
          <w:rFonts w:ascii="Times New Roman" w:cs="Times New Roman" w:eastAsia="Times New Roman" w:hAnsi="Times New Roman"/>
          <w:sz w:val="22"/>
          <w:szCs w:val="22"/>
        </w:rPr>
        <w:t xml:space="preserve">BAB III TATA KELOLA IT</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sz w:val="22"/>
          <w:szCs w:val="22"/>
        </w:rPr>
        <w:t xml:space="preserve">17</w:t>
      </w:r>
    </w:p>
    <w:p>
      <w:pPr>
        <w:spacing w:after="40" w:line="260"/>
        <w:ind w:left="360"/>
      </w:pPr>
      <w:r>
        <w:rPr>
          <w:rFonts w:ascii="Times New Roman" w:cs="Times New Roman" w:eastAsia="Times New Roman" w:hAnsi="Times New Roman"/>
          <w:sz w:val="22"/>
          <w:szCs w:val="22"/>
        </w:rPr>
        <w:t xml:space="preserve">3.1  Security</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sz w:val="22"/>
          <w:szCs w:val="22"/>
        </w:rPr>
        <w:t xml:space="preserve">17</w:t>
      </w:r>
    </w:p>
    <w:p>
      <w:pPr>
        <w:spacing w:after="40" w:line="260"/>
        <w:ind w:left="360"/>
      </w:pPr>
      <w:r>
        <w:rPr>
          <w:rFonts w:ascii="Times New Roman" w:cs="Times New Roman" w:eastAsia="Times New Roman" w:hAnsi="Times New Roman"/>
          <w:sz w:val="22"/>
          <w:szCs w:val="22"/>
        </w:rPr>
        <w:t xml:space="preserve">3.2  Compliance</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sz w:val="22"/>
          <w:szCs w:val="22"/>
        </w:rPr>
        <w:t xml:space="preserve">18</w:t>
      </w:r>
    </w:p>
    <w:p>
      <w:pPr>
        <w:spacing w:after="40" w:line="260"/>
        <w:ind w:left="360"/>
      </w:pPr>
      <w:r>
        <w:rPr>
          <w:rFonts w:ascii="Times New Roman" w:cs="Times New Roman" w:eastAsia="Times New Roman" w:hAnsi="Times New Roman"/>
          <w:sz w:val="22"/>
          <w:szCs w:val="22"/>
        </w:rPr>
        <w:t xml:space="preserve">3.3  Data Privacy</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sz w:val="22"/>
          <w:szCs w:val="22"/>
        </w:rPr>
        <w:t xml:space="preserve">19</w:t>
      </w:r>
    </w:p>
    <w:p>
      <w:pPr>
        <w:spacing w:after="40" w:line="260"/>
        <w:ind w:left="360"/>
      </w:pPr>
      <w:r>
        <w:rPr>
          <w:rFonts w:ascii="Times New Roman" w:cs="Times New Roman" w:eastAsia="Times New Roman" w:hAnsi="Times New Roman"/>
          <w:sz w:val="22"/>
          <w:szCs w:val="22"/>
        </w:rPr>
        <w:t xml:space="preserve">3.4  Data Quality</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sz w:val="22"/>
          <w:szCs w:val="22"/>
        </w:rPr>
        <w:t xml:space="preserve">20</w:t>
      </w:r>
    </w:p>
    <w:p>
      <w:pPr>
        <w:spacing w:after="40" w:line="260"/>
        <w:ind w:left="0"/>
      </w:pPr>
      <w:r>
        <w:rPr>
          <w:rFonts w:ascii="Times New Roman" w:cs="Times New Roman" w:eastAsia="Times New Roman" w:hAnsi="Times New Roman"/>
          <w:sz w:val="22"/>
          <w:szCs w:val="22"/>
        </w:rPr>
        <w:t xml:space="preserve">BAB IV DATA</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sz w:val="22"/>
          <w:szCs w:val="22"/>
        </w:rPr>
        <w:t xml:space="preserve">22</w:t>
      </w:r>
    </w:p>
    <w:p>
      <w:pPr>
        <w:spacing w:after="40" w:line="260"/>
        <w:ind w:left="360"/>
      </w:pPr>
      <w:r>
        <w:rPr>
          <w:rFonts w:ascii="Times New Roman" w:cs="Times New Roman" w:eastAsia="Times New Roman" w:hAnsi="Times New Roman"/>
          <w:sz w:val="22"/>
          <w:szCs w:val="22"/>
        </w:rPr>
        <w:t xml:space="preserve">4.1  Deskripsi Data</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sz w:val="22"/>
          <w:szCs w:val="22"/>
        </w:rPr>
        <w:t xml:space="preserve">22</w:t>
      </w:r>
    </w:p>
    <w:p>
      <w:pPr>
        <w:spacing w:after="40" w:line="260"/>
        <w:ind w:left="360"/>
      </w:pPr>
      <w:r>
        <w:rPr>
          <w:rFonts w:ascii="Times New Roman" w:cs="Times New Roman" w:eastAsia="Times New Roman" w:hAnsi="Times New Roman"/>
          <w:sz w:val="22"/>
          <w:szCs w:val="22"/>
        </w:rPr>
        <w:t xml:space="preserve">4.2  Model Data dan Operasi Data</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sz w:val="22"/>
          <w:szCs w:val="22"/>
        </w:rPr>
        <w:t xml:space="preserve">24</w:t>
      </w:r>
    </w:p>
    <w:p>
      <w:pPr>
        <w:spacing w:after="40" w:line="260"/>
        <w:ind w:left="360"/>
      </w:pPr>
      <w:r>
        <w:rPr>
          <w:rFonts w:ascii="Times New Roman" w:cs="Times New Roman" w:eastAsia="Times New Roman" w:hAnsi="Times New Roman"/>
          <w:sz w:val="22"/>
          <w:szCs w:val="22"/>
        </w:rPr>
        <w:t xml:space="preserve">4.3  Dataset untuk Diolah Menggunakan Machine Learning</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sz w:val="22"/>
          <w:szCs w:val="22"/>
        </w:rPr>
        <w:t xml:space="preserve">28</w:t>
      </w:r>
    </w:p>
    <w:p>
      <w:pPr>
        <w:spacing w:after="40" w:line="260"/>
        <w:ind w:left="0"/>
      </w:pPr>
      <w:r>
        <w:rPr>
          <w:rFonts w:ascii="Times New Roman" w:cs="Times New Roman" w:eastAsia="Times New Roman" w:hAnsi="Times New Roman"/>
          <w:sz w:val="22"/>
          <w:szCs w:val="22"/>
        </w:rPr>
        <w:t xml:space="preserve">BAB V MACHINE LEARNING UNTUK BIG DATA</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sz w:val="22"/>
          <w:szCs w:val="22"/>
        </w:rPr>
        <w:t xml:space="preserve">30</w:t>
      </w:r>
    </w:p>
    <w:p>
      <w:pPr>
        <w:spacing w:after="40" w:line="260"/>
        <w:ind w:left="360"/>
      </w:pPr>
      <w:r>
        <w:rPr>
          <w:rFonts w:ascii="Times New Roman" w:cs="Times New Roman" w:eastAsia="Times New Roman" w:hAnsi="Times New Roman"/>
          <w:sz w:val="22"/>
          <w:szCs w:val="22"/>
        </w:rPr>
        <w:t xml:space="preserve">5.1  Data Preprocessing</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sz w:val="22"/>
          <w:szCs w:val="22"/>
        </w:rPr>
        <w:t xml:space="preserve">31</w:t>
      </w:r>
    </w:p>
    <w:p>
      <w:pPr>
        <w:spacing w:after="40" w:line="260"/>
        <w:ind w:left="360"/>
      </w:pPr>
      <w:r>
        <w:rPr>
          <w:rFonts w:ascii="Times New Roman" w:cs="Times New Roman" w:eastAsia="Times New Roman" w:hAnsi="Times New Roman"/>
          <w:sz w:val="22"/>
          <w:szCs w:val="22"/>
        </w:rPr>
        <w:t xml:space="preserve">5.2  Feature Engineering</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sz w:val="22"/>
          <w:szCs w:val="22"/>
        </w:rPr>
        <w:t xml:space="preserve">32</w:t>
      </w:r>
    </w:p>
    <w:p>
      <w:pPr>
        <w:spacing w:after="40" w:line="260"/>
        <w:ind w:left="360"/>
      </w:pPr>
      <w:r>
        <w:rPr>
          <w:rFonts w:ascii="Times New Roman" w:cs="Times New Roman" w:eastAsia="Times New Roman" w:hAnsi="Times New Roman"/>
          <w:sz w:val="22"/>
          <w:szCs w:val="22"/>
        </w:rPr>
        <w:t xml:space="preserve">5.3  Algoritma Machine Learning</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sz w:val="22"/>
          <w:szCs w:val="22"/>
        </w:rPr>
        <w:t xml:space="preserve">37</w:t>
      </w:r>
    </w:p>
    <w:p>
      <w:pPr>
        <w:spacing w:after="40" w:line="260"/>
        <w:ind w:left="360"/>
      </w:pPr>
      <w:r>
        <w:rPr>
          <w:rFonts w:ascii="Times New Roman" w:cs="Times New Roman" w:eastAsia="Times New Roman" w:hAnsi="Times New Roman"/>
          <w:sz w:val="22"/>
          <w:szCs w:val="22"/>
        </w:rPr>
        <w:t xml:space="preserve">5.4  Proses Pengembangan Model dengan dan tanpa Spark MLlib</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sz w:val="22"/>
          <w:szCs w:val="22"/>
        </w:rPr>
        <w:t xml:space="preserve">38</w:t>
      </w:r>
    </w:p>
    <w:p>
      <w:pPr>
        <w:spacing w:after="40" w:line="260"/>
        <w:ind w:left="360"/>
      </w:pPr>
      <w:r>
        <w:rPr>
          <w:rFonts w:ascii="Times New Roman" w:cs="Times New Roman" w:eastAsia="Times New Roman" w:hAnsi="Times New Roman"/>
          <w:sz w:val="22"/>
          <w:szCs w:val="22"/>
        </w:rPr>
        <w:t xml:space="preserve">5.5  Evaluasi Model</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sz w:val="22"/>
          <w:szCs w:val="22"/>
        </w:rPr>
        <w:t xml:space="preserve">40</w:t>
      </w:r>
    </w:p>
    <w:p>
      <w:pPr>
        <w:spacing w:after="40" w:line="260"/>
        <w:ind w:left="360"/>
      </w:pPr>
      <w:r>
        <w:rPr>
          <w:rFonts w:ascii="Times New Roman" w:cs="Times New Roman" w:eastAsia="Times New Roman" w:hAnsi="Times New Roman"/>
          <w:sz w:val="22"/>
          <w:szCs w:val="22"/>
        </w:rPr>
        <w:t xml:space="preserve">5.6  Analisis</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sz w:val="22"/>
          <w:szCs w:val="22"/>
        </w:rPr>
        <w:t xml:space="preserve">42</w:t>
      </w:r>
    </w:p>
    <w:p>
      <w:pPr>
        <w:spacing w:after="40" w:line="260"/>
        <w:ind w:left="0"/>
      </w:pPr>
      <w:r>
        <w:rPr>
          <w:rFonts w:ascii="Times New Roman" w:cs="Times New Roman" w:eastAsia="Times New Roman" w:hAnsi="Times New Roman"/>
          <w:sz w:val="22"/>
          <w:szCs w:val="22"/>
        </w:rPr>
        <w:t xml:space="preserve">BAB VI GRAPH ANALYTICS</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sz w:val="22"/>
          <w:szCs w:val="22"/>
        </w:rPr>
        <w:t xml:space="preserve">46</w:t>
      </w:r>
    </w:p>
    <w:p>
      <w:pPr>
        <w:spacing w:after="40" w:line="260"/>
        <w:ind w:left="360"/>
      </w:pPr>
      <w:r>
        <w:rPr>
          <w:rFonts w:ascii="Times New Roman" w:cs="Times New Roman" w:eastAsia="Times New Roman" w:hAnsi="Times New Roman"/>
          <w:sz w:val="22"/>
          <w:szCs w:val="22"/>
        </w:rPr>
        <w:t xml:space="preserve">6.1  Pengembangan Graph</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sz w:val="22"/>
          <w:szCs w:val="22"/>
        </w:rPr>
        <w:t xml:space="preserve">46</w:t>
      </w:r>
    </w:p>
    <w:p>
      <w:pPr>
        <w:spacing w:after="40" w:line="260"/>
        <w:ind w:left="360"/>
      </w:pPr>
      <w:r>
        <w:rPr>
          <w:rFonts w:ascii="Times New Roman" w:cs="Times New Roman" w:eastAsia="Times New Roman" w:hAnsi="Times New Roman"/>
          <w:sz w:val="22"/>
          <w:szCs w:val="22"/>
        </w:rPr>
        <w:t xml:space="preserve">6.2  Analisis dan Insight yang Diperoleh</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sz w:val="22"/>
          <w:szCs w:val="22"/>
        </w:rPr>
        <w:t xml:space="preserve">49</w:t>
      </w:r>
    </w:p>
    <w:p>
      <w:r>
        <w:br w:type="page"/>
      </w:r>
    </w:p>
    <w:p>
      <w:pPr>
        <w:pStyle w:val="Heading1"/>
        <w:spacing w:after="240" w:before="240"/>
        <w:jc w:val="center"/>
      </w:pPr>
      <w:r>
        <w:rPr>
          <w:rFonts w:ascii="Times New Roman" w:cs="Times New Roman" w:eastAsia="Times New Roman" w:hAnsi="Times New Roman"/>
          <w:b/>
          <w:bCs/>
          <w:sz w:val="28"/>
          <w:szCs w:val="28"/>
        </w:rPr>
        <w:t xml:space="preserve">DAFTAR GAMBAR</w:t>
      </w:r>
    </w:p>
    <w:p>
      <w:pPr>
        <w:spacing w:after="40" w:line="260"/>
        <w:ind w:left="0"/>
      </w:pPr>
      <w:r>
        <w:rPr>
          <w:rFonts w:ascii="Times New Roman" w:cs="Times New Roman" w:eastAsia="Times New Roman" w:hAnsi="Times New Roman"/>
          <w:sz w:val="22"/>
          <w:szCs w:val="22"/>
        </w:rPr>
        <w:t xml:space="preserve">Gambar 1. Arsitektur Big Data Prediksi Risiko Gempa Bumi</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sz w:val="22"/>
          <w:szCs w:val="22"/>
        </w:rPr>
        <w:t xml:space="preserve">9</w:t>
      </w:r>
    </w:p>
    <w:p>
      <w:pPr>
        <w:spacing w:after="40" w:line="260"/>
        <w:ind w:left="0"/>
      </w:pPr>
      <w:r>
        <w:rPr>
          <w:rFonts w:ascii="Times New Roman" w:cs="Times New Roman" w:eastAsia="Times New Roman" w:hAnsi="Times New Roman"/>
          <w:sz w:val="22"/>
          <w:szCs w:val="22"/>
        </w:rPr>
        <w:t xml:space="preserve">Gambar 2. Alur Pipeline Operasional dari Ingestion sampai Dashboard</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sz w:val="22"/>
          <w:szCs w:val="22"/>
        </w:rPr>
        <w:t xml:space="preserve">12</w:t>
      </w:r>
    </w:p>
    <w:p>
      <w:pPr>
        <w:spacing w:after="40" w:line="260"/>
        <w:ind w:left="0"/>
      </w:pPr>
      <w:r>
        <w:rPr>
          <w:rFonts w:ascii="Times New Roman" w:cs="Times New Roman" w:eastAsia="Times New Roman" w:hAnsi="Times New Roman"/>
          <w:sz w:val="22"/>
          <w:szCs w:val="22"/>
        </w:rPr>
        <w:t xml:space="preserve">Gambar 3. Distribusi Magnitude, Kedalaman, dan Jumlah Kejadian per Tahun</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sz w:val="22"/>
          <w:szCs w:val="22"/>
        </w:rPr>
        <w:t xml:space="preserve">23</w:t>
      </w:r>
    </w:p>
    <w:p>
      <w:pPr>
        <w:spacing w:after="40" w:line="260"/>
        <w:ind w:left="0"/>
      </w:pPr>
      <w:r>
        <w:rPr>
          <w:rFonts w:ascii="Times New Roman" w:cs="Times New Roman" w:eastAsia="Times New Roman" w:hAnsi="Times New Roman"/>
          <w:sz w:val="22"/>
          <w:szCs w:val="22"/>
        </w:rPr>
        <w:t xml:space="preserve">Gambar 4. Confusion Matrix Tiga Model scikit-learn</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sz w:val="22"/>
          <w:szCs w:val="22"/>
        </w:rPr>
        <w:t xml:space="preserve">41</w:t>
      </w:r>
    </w:p>
    <w:p>
      <w:pPr>
        <w:spacing w:after="40" w:line="260"/>
        <w:ind w:left="0"/>
      </w:pPr>
      <w:r>
        <w:rPr>
          <w:rFonts w:ascii="Times New Roman" w:cs="Times New Roman" w:eastAsia="Times New Roman" w:hAnsi="Times New Roman"/>
          <w:sz w:val="22"/>
          <w:szCs w:val="22"/>
        </w:rPr>
        <w:t xml:space="preserve">Gambar 5. Feature Importance Random Forest dan Gradient Boosting</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sz w:val="22"/>
          <w:szCs w:val="22"/>
        </w:rPr>
        <w:t xml:space="preserve">43</w:t>
      </w:r>
    </w:p>
    <w:p>
      <w:pPr>
        <w:spacing w:after="40" w:line="260"/>
        <w:ind w:left="0"/>
      </w:pPr>
      <w:r>
        <w:rPr>
          <w:rFonts w:ascii="Times New Roman" w:cs="Times New Roman" w:eastAsia="Times New Roman" w:hAnsi="Times New Roman"/>
          <w:sz w:val="22"/>
          <w:szCs w:val="22"/>
        </w:rPr>
        <w:t xml:space="preserve">Gambar 6. Perbandingan Metrik dan Waktu Pelatihan scikit-learn dan Spark MLlib</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sz w:val="22"/>
          <w:szCs w:val="22"/>
        </w:rPr>
        <w:t xml:space="preserve">44</w:t>
      </w:r>
    </w:p>
    <w:p>
      <w:pPr>
        <w:spacing w:after="40" w:line="260"/>
        <w:ind w:left="0"/>
      </w:pPr>
      <w:r>
        <w:rPr>
          <w:rFonts w:ascii="Times New Roman" w:cs="Times New Roman" w:eastAsia="Times New Roman" w:hAnsi="Times New Roman"/>
          <w:sz w:val="22"/>
          <w:szCs w:val="22"/>
        </w:rPr>
        <w:t xml:space="preserve">Gambar 7. Graph A – Jaringan Spasial-Temporal Zona Seismik</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sz w:val="22"/>
          <w:szCs w:val="22"/>
        </w:rPr>
        <w:t xml:space="preserve">47</w:t>
      </w:r>
    </w:p>
    <w:p>
      <w:pPr>
        <w:spacing w:after="40" w:line="260"/>
        <w:ind w:left="0"/>
      </w:pPr>
      <w:r>
        <w:rPr>
          <w:rFonts w:ascii="Times New Roman" w:cs="Times New Roman" w:eastAsia="Times New Roman" w:hAnsi="Times New Roman"/>
          <w:sz w:val="22"/>
          <w:szCs w:val="22"/>
        </w:rPr>
        <w:t xml:space="preserve">Gambar 8. Graph B – Bipartit Wilayah dan Karakteristik Hazard</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sz w:val="22"/>
          <w:szCs w:val="22"/>
        </w:rPr>
        <w:t xml:space="preserve">48</w:t>
      </w:r>
    </w:p>
    <w:p>
      <w:pPr>
        <w:spacing w:after="240"/>
      </w:pPr>
    </w:p>
    <w:p>
      <w:pPr>
        <w:pStyle w:val="Heading1"/>
        <w:spacing w:after="240" w:before="240"/>
        <w:jc w:val="center"/>
      </w:pPr>
      <w:r>
        <w:rPr>
          <w:rFonts w:ascii="Times New Roman" w:cs="Times New Roman" w:eastAsia="Times New Roman" w:hAnsi="Times New Roman"/>
          <w:b/>
          <w:bCs/>
          <w:sz w:val="28"/>
          <w:szCs w:val="28"/>
        </w:rPr>
        <w:t xml:space="preserve">DAFTAR TABEL</w:t>
      </w:r>
    </w:p>
    <w:p>
      <w:pPr>
        <w:spacing w:after="40" w:line="260"/>
        <w:ind w:left="0"/>
      </w:pPr>
      <w:r>
        <w:rPr>
          <w:rFonts w:ascii="Times New Roman" w:cs="Times New Roman" w:eastAsia="Times New Roman" w:hAnsi="Times New Roman"/>
          <w:sz w:val="22"/>
          <w:szCs w:val="22"/>
        </w:rPr>
        <w:t xml:space="preserve">Tabel 1. Market dan Business Drivers</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sz w:val="22"/>
          <w:szCs w:val="22"/>
        </w:rPr>
        <w:t xml:space="preserve">5</w:t>
      </w:r>
    </w:p>
    <w:p>
      <w:pPr>
        <w:spacing w:after="40" w:line="260"/>
        <w:ind w:left="0"/>
      </w:pPr>
      <w:r>
        <w:rPr>
          <w:rFonts w:ascii="Times New Roman" w:cs="Times New Roman" w:eastAsia="Times New Roman" w:hAnsi="Times New Roman"/>
          <w:sz w:val="22"/>
          <w:szCs w:val="22"/>
        </w:rPr>
        <w:t xml:space="preserve">Tabel 2. Pemangku Kepentingan dan Perannya</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sz w:val="22"/>
          <w:szCs w:val="22"/>
        </w:rPr>
        <w:t xml:space="preserve">7</w:t>
      </w:r>
    </w:p>
    <w:p>
      <w:pPr>
        <w:spacing w:after="40" w:line="260"/>
        <w:ind w:left="0"/>
      </w:pPr>
      <w:r>
        <w:rPr>
          <w:rFonts w:ascii="Times New Roman" w:cs="Times New Roman" w:eastAsia="Times New Roman" w:hAnsi="Times New Roman"/>
          <w:sz w:val="22"/>
          <w:szCs w:val="22"/>
        </w:rPr>
        <w:t xml:space="preserve">Tabel 3. Sumber, Elemen, Format, dan Tipe Data</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sz w:val="22"/>
          <w:szCs w:val="22"/>
        </w:rPr>
        <w:t xml:space="preserve">10</w:t>
      </w:r>
    </w:p>
    <w:p>
      <w:pPr>
        <w:spacing w:after="40" w:line="260"/>
        <w:ind w:left="0"/>
      </w:pPr>
      <w:r>
        <w:rPr>
          <w:rFonts w:ascii="Times New Roman" w:cs="Times New Roman" w:eastAsia="Times New Roman" w:hAnsi="Times New Roman"/>
          <w:sz w:val="22"/>
          <w:szCs w:val="22"/>
        </w:rPr>
        <w:t xml:space="preserve">Tabel 4. Teknologi Penyimpanan Data per Layer</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sz w:val="22"/>
          <w:szCs w:val="22"/>
        </w:rPr>
        <w:t xml:space="preserve">13</w:t>
      </w:r>
    </w:p>
    <w:p>
      <w:pPr>
        <w:spacing w:after="40" w:line="260"/>
        <w:ind w:left="0"/>
      </w:pPr>
      <w:r>
        <w:rPr>
          <w:rFonts w:ascii="Times New Roman" w:cs="Times New Roman" w:eastAsia="Times New Roman" w:hAnsi="Times New Roman"/>
          <w:sz w:val="22"/>
          <w:szCs w:val="22"/>
        </w:rPr>
        <w:t xml:space="preserve">Tabel 5. Perbandingan Processing Framework</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sz w:val="22"/>
          <w:szCs w:val="22"/>
        </w:rPr>
        <w:t xml:space="preserve">15</w:t>
      </w:r>
    </w:p>
    <w:p>
      <w:pPr>
        <w:spacing w:after="40" w:line="260"/>
        <w:ind w:left="0"/>
      </w:pPr>
      <w:r>
        <w:rPr>
          <w:rFonts w:ascii="Times New Roman" w:cs="Times New Roman" w:eastAsia="Times New Roman" w:hAnsi="Times New Roman"/>
          <w:sz w:val="22"/>
          <w:szCs w:val="22"/>
        </w:rPr>
        <w:t xml:space="preserve">Tabel 6. Aturan Data Quality dan Implementasinya</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sz w:val="22"/>
          <w:szCs w:val="22"/>
        </w:rPr>
        <w:t xml:space="preserve">20</w:t>
      </w:r>
    </w:p>
    <w:p>
      <w:pPr>
        <w:spacing w:after="40" w:line="260"/>
        <w:ind w:left="0"/>
      </w:pPr>
      <w:r>
        <w:rPr>
          <w:rFonts w:ascii="Times New Roman" w:cs="Times New Roman" w:eastAsia="Times New Roman" w:hAnsi="Times New Roman"/>
          <w:sz w:val="22"/>
          <w:szCs w:val="22"/>
        </w:rPr>
        <w:t xml:space="preserve">Tabel 7. Statistik Deskriptif Dataset Hasil Ingestion</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sz w:val="22"/>
          <w:szCs w:val="22"/>
        </w:rPr>
        <w:t xml:space="preserve">22</w:t>
      </w:r>
    </w:p>
    <w:p>
      <w:pPr>
        <w:spacing w:after="40" w:line="260"/>
        <w:ind w:left="0"/>
      </w:pPr>
      <w:r>
        <w:rPr>
          <w:rFonts w:ascii="Times New Roman" w:cs="Times New Roman" w:eastAsia="Times New Roman" w:hAnsi="Times New Roman"/>
          <w:sz w:val="22"/>
          <w:szCs w:val="22"/>
        </w:rPr>
        <w:t xml:space="preserve">Tabel 8. Model Data dan Operasi Data yang Diterapkan</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sz w:val="22"/>
          <w:szCs w:val="22"/>
        </w:rPr>
        <w:t xml:space="preserve">25</w:t>
      </w:r>
    </w:p>
    <w:p>
      <w:pPr>
        <w:spacing w:after="40" w:line="260"/>
        <w:ind w:left="0"/>
      </w:pPr>
      <w:r>
        <w:rPr>
          <w:rFonts w:ascii="Times New Roman" w:cs="Times New Roman" w:eastAsia="Times New Roman" w:hAnsi="Times New Roman"/>
          <w:sz w:val="22"/>
          <w:szCs w:val="22"/>
        </w:rPr>
        <w:t xml:space="preserve">Tabel 9. Log Operasi Data – Jumlah Baris Sebelum dan Sesudah</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sz w:val="22"/>
          <w:szCs w:val="22"/>
        </w:rPr>
        <w:t xml:space="preserve">27</w:t>
      </w:r>
    </w:p>
    <w:p>
      <w:pPr>
        <w:spacing w:after="40" w:line="260"/>
        <w:ind w:left="0"/>
      </w:pPr>
      <w:r>
        <w:rPr>
          <w:rFonts w:ascii="Times New Roman" w:cs="Times New Roman" w:eastAsia="Times New Roman" w:hAnsi="Times New Roman"/>
          <w:sz w:val="22"/>
          <w:szCs w:val="22"/>
        </w:rPr>
        <w:t xml:space="preserve">Tabel 10. Skema Dataset Machine Learning</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sz w:val="22"/>
          <w:szCs w:val="22"/>
        </w:rPr>
        <w:t xml:space="preserve">28</w:t>
      </w:r>
    </w:p>
    <w:p>
      <w:pPr>
        <w:spacing w:after="40" w:line="260"/>
        <w:ind w:left="0"/>
      </w:pPr>
      <w:r>
        <w:rPr>
          <w:rFonts w:ascii="Times New Roman" w:cs="Times New Roman" w:eastAsia="Times New Roman" w:hAnsi="Times New Roman"/>
          <w:sz w:val="22"/>
          <w:szCs w:val="22"/>
        </w:rPr>
        <w:t xml:space="preserve">Tabel 11. Tiga Rancangan Label dan Cacat Metodologisnya</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sz w:val="22"/>
          <w:szCs w:val="22"/>
        </w:rPr>
        <w:t xml:space="preserve">33</w:t>
      </w:r>
    </w:p>
    <w:p>
      <w:pPr>
        <w:spacing w:after="40" w:line="260"/>
        <w:ind w:left="0"/>
      </w:pPr>
      <w:r>
        <w:rPr>
          <w:rFonts w:ascii="Times New Roman" w:cs="Times New Roman" w:eastAsia="Times New Roman" w:hAnsi="Times New Roman"/>
          <w:sz w:val="22"/>
          <w:szCs w:val="22"/>
        </w:rPr>
        <w:t xml:space="preserve">Tabel 12. Hasil Uji Kebocoran Label</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sz w:val="22"/>
          <w:szCs w:val="22"/>
        </w:rPr>
        <w:t xml:space="preserve">35</w:t>
      </w:r>
    </w:p>
    <w:p>
      <w:pPr>
        <w:spacing w:after="40" w:line="260"/>
        <w:ind w:left="0"/>
      </w:pPr>
      <w:r>
        <w:rPr>
          <w:rFonts w:ascii="Times New Roman" w:cs="Times New Roman" w:eastAsia="Times New Roman" w:hAnsi="Times New Roman"/>
          <w:sz w:val="22"/>
          <w:szCs w:val="22"/>
        </w:rPr>
        <w:t xml:space="preserve">Tabel 13. Distribusi Kelas Label Risiko</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sz w:val="22"/>
          <w:szCs w:val="22"/>
        </w:rPr>
        <w:t xml:space="preserve">36</w:t>
      </w:r>
    </w:p>
    <w:p>
      <w:pPr>
        <w:spacing w:after="40" w:line="260"/>
        <w:ind w:left="0"/>
      </w:pPr>
      <w:r>
        <w:rPr>
          <w:rFonts w:ascii="Times New Roman" w:cs="Times New Roman" w:eastAsia="Times New Roman" w:hAnsi="Times New Roman"/>
          <w:sz w:val="22"/>
          <w:szCs w:val="22"/>
        </w:rPr>
        <w:t xml:space="preserve">Tabel 14. Daftar Fitur Model dan Justifikasinya</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sz w:val="22"/>
          <w:szCs w:val="22"/>
        </w:rPr>
        <w:t xml:space="preserve">36</w:t>
      </w:r>
    </w:p>
    <w:p>
      <w:pPr>
        <w:spacing w:after="40" w:line="260"/>
        <w:ind w:left="0"/>
      </w:pPr>
      <w:r>
        <w:rPr>
          <w:rFonts w:ascii="Times New Roman" w:cs="Times New Roman" w:eastAsia="Times New Roman" w:hAnsi="Times New Roman"/>
          <w:sz w:val="22"/>
          <w:szCs w:val="22"/>
        </w:rPr>
        <w:t xml:space="preserve">Tabel 15. Hasil Evaluasi Model scikit-learn dan Spark MLlib</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sz w:val="22"/>
          <w:szCs w:val="22"/>
        </w:rPr>
        <w:t xml:space="preserve">40</w:t>
      </w:r>
    </w:p>
    <w:p>
      <w:pPr>
        <w:spacing w:after="40" w:line="260"/>
        <w:ind w:left="0"/>
      </w:pPr>
      <w:r>
        <w:rPr>
          <w:rFonts w:ascii="Times New Roman" w:cs="Times New Roman" w:eastAsia="Times New Roman" w:hAnsi="Times New Roman"/>
          <w:sz w:val="22"/>
          <w:szCs w:val="22"/>
        </w:rPr>
        <w:t xml:space="preserve">Tabel 16. Metrik Sentralitas Graph A – Lima Zona Teratas</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sz w:val="22"/>
          <w:szCs w:val="22"/>
        </w:rPr>
        <w:t xml:space="preserve">49</w:t>
      </w:r>
    </w:p>
    <w:p>
      <w:r>
        <w:br w:type="page"/>
      </w:r>
    </w:p>
    <w:p>
      <w:pPr>
        <w:pStyle w:val="Heading1"/>
        <w:spacing w:after="240" w:before="240"/>
        <w:jc w:val="center"/>
      </w:pPr>
      <w:r>
        <w:rPr>
          <w:rFonts w:ascii="Times New Roman" w:cs="Times New Roman" w:eastAsia="Times New Roman" w:hAnsi="Times New Roman"/>
          <w:b/>
          <w:bCs/>
          <w:sz w:val="28"/>
          <w:szCs w:val="28"/>
        </w:rPr>
        <w:t xml:space="preserve">BAB I PENDAHULUAN</w:t>
      </w:r>
    </w:p>
    <w:p>
      <w:pPr>
        <w:pStyle w:val="Heading2"/>
        <w:spacing w:after="120" w:before="240"/>
      </w:pPr>
      <w:r>
        <w:rPr>
          <w:rFonts w:ascii="Times New Roman" w:cs="Times New Roman" w:eastAsia="Times New Roman" w:hAnsi="Times New Roman"/>
          <w:b/>
          <w:bCs/>
          <w:sz w:val="26"/>
          <w:szCs w:val="26"/>
        </w:rPr>
        <w:t xml:space="preserve">1.1  Latar Belakang Masalah</w:t>
      </w:r>
    </w:p>
    <w:p>
      <w:pPr>
        <w:spacing w:after="120" w:line="276"/>
        <w:jc w:val="both"/>
      </w:pPr>
      <w:r>
        <w:rPr>
          <w:rFonts w:ascii="Times New Roman" w:cs="Times New Roman" w:eastAsia="Times New Roman" w:hAnsi="Times New Roman"/>
          <w:sz w:val="24"/>
          <w:szCs w:val="24"/>
        </w:rPr>
        <w:t xml:space="preserve">Indonesia berada pada pertemuan tiga lempeng tektonik utama, yaitu Lempeng Indo-Australia, Lempeng Eurasia, dan Lempeng Pasifik. Posisi geografis tersebut menempatkan Indonesia pada jalur Cincin Api Pasifik sehingga menjadi salah satu kawasan dengan aktivitas seismik tertinggi di dunia. Katalog gempa yang dikumpulkan pada penelitian ini mencatat 19.266 kejadian dengan magnitudo 4,0 atau lebih di wilayah Indonesia sepanjang Januari 2015 hingga Agustus 2026. Jumlah itu setara dengan rata-rata sekitar 1.600 kejadian per tahun atau lebih dari empat kejadian setiap hari.</w:t>
      </w:r>
    </w:p>
    <w:p>
      <w:pPr>
        <w:spacing w:after="120" w:line="276"/>
        <w:jc w:val="both"/>
      </w:pPr>
      <w:r>
        <w:rPr>
          <w:rFonts w:ascii="Times New Roman" w:cs="Times New Roman" w:eastAsia="Times New Roman" w:hAnsi="Times New Roman"/>
          <w:sz w:val="24"/>
          <w:szCs w:val="24"/>
        </w:rPr>
        <w:t xml:space="preserve">Frekuensi setinggi itu menimbulkan persoalan operasional yang khas. Lembaga penanggulangan bencana tidak mungkin memberikan perhatian dan sumber daya yang setara kepada seluruh 19.266 kejadian. Sebagian besar merupakan gempa berkekuatan menengah yang tidak menimbulkan dampak berarti, sedangkan sebagian kecil lainnya berpotensi menyebabkan kerusakan besar. Persoalan intinya bukan mendeteksi kejadian gempa, melainkan menentukan wilayah yang secara sistematis berisiko lebih tinggi sehingga layak diprioritaskan dalam mitigasi, penguatan infrastruktur, dan alokasi anggaran kesiapsiagaan.</w:t>
      </w:r>
    </w:p>
    <w:p>
      <w:pPr>
        <w:spacing w:after="120" w:line="276"/>
        <w:jc w:val="both"/>
      </w:pPr>
      <w:r>
        <w:rPr>
          <w:rFonts w:ascii="Times New Roman" w:cs="Times New Roman" w:eastAsia="Times New Roman" w:hAnsi="Times New Roman"/>
          <w:sz w:val="24"/>
          <w:szCs w:val="24"/>
        </w:rPr>
        <w:t xml:space="preserve">Persoalan kedua terletak pada terpecahnya sumber data. Informasi kegempaan di Indonesia tersebar pada beberapa penyedia dengan format, cakupan, dan tingkat kelengkapan yang berbeda. Badan Meteorologi, Klimatologi, dan Geofisika (BMKG) menyediakan data gempa terkini melalui antarmuka pemrograman aplikasi publik, tetapi cakupannya terbatas pada belasan kejadian paling mutakhir dan atributnya berupa teks tidak terstruktur, misalnya “10 km” untuk kedalaman dan “2.80 LS” untuk lintang. Sebaliknya, United States Geological Survey (USGS) menyediakan katalog historis lengkap dengan atribut kuantitatif yang kaya, tetapi memerlukan penyaringan wilayah karena cakupannya global. Data kejadian bencana dari Badan Nasional Penanggulangan Bencana (BNPB) melalui portal Data Informasi Bencana Indonesia hanya tersedia dalam bentuk dasbor tanpa antarmuka pemrograman publik.</w:t>
      </w:r>
    </w:p>
    <w:p>
      <w:pPr>
        <w:spacing w:after="120" w:line="276"/>
        <w:jc w:val="both"/>
      </w:pPr>
      <w:r>
        <w:rPr>
          <w:rFonts w:ascii="Times New Roman" w:cs="Times New Roman" w:eastAsia="Times New Roman" w:hAnsi="Times New Roman"/>
          <w:sz w:val="24"/>
          <w:szCs w:val="24"/>
        </w:rPr>
        <w:t xml:space="preserve">Keterpecahan tersebut berdampak langsung pada mutu pengambilan keputusan. Ketika data historis tidak terpadu dalam satu pipeline analitik, analisis risiko cenderung dilakukan secara reaktif berdasarkan kejadian terakhir, bukan secara prediktif berdasarkan pola jangka panjang. Akibatnya, wilayah dengan aktivitas seismik tinggi yang sedang tidak mengalami kejadian besar berpotensi luput dari perhatian, padahal wilayah itulah yang membutuhkan penguatan mitigasi sebelum kejadian besar terjadi.</w:t>
      </w:r>
    </w:p>
    <w:p>
      <w:pPr>
        <w:spacing w:after="120" w:line="276"/>
        <w:jc w:val="both"/>
      </w:pPr>
      <w:r>
        <w:rPr>
          <w:rFonts w:ascii="Times New Roman" w:cs="Times New Roman" w:eastAsia="Times New Roman" w:hAnsi="Times New Roman"/>
          <w:sz w:val="24"/>
          <w:szCs w:val="24"/>
        </w:rPr>
        <w:t xml:space="preserve">Penelitian ini menawarkan rancangan sistem Big Data yang memadukan katalog gempa historis USGS dan data mutakhir BMKG ke dalam satu pipeline analitik, menerapkan Machine Learning untuk mengklasifikasikan tingkat risiko wilayah pada horizon waktu tertentu, serta memanfaatkan graph analytics untuk memetakan keterkaitan spasial-temporal antarwilayah seismik. Dengan pendekatan tersebut, keputusan mitigasi dapat berpijak pada pola historis yang terukur.</w:t>
      </w:r>
    </w:p>
    <w:p>
      <w:pPr>
        <w:pStyle w:val="Heading2"/>
        <w:spacing w:after="120" w:before="240"/>
      </w:pPr>
      <w:r>
        <w:rPr>
          <w:rFonts w:ascii="Times New Roman" w:cs="Times New Roman" w:eastAsia="Times New Roman" w:hAnsi="Times New Roman"/>
          <w:b/>
          <w:bCs/>
          <w:sz w:val="26"/>
          <w:szCs w:val="26"/>
        </w:rPr>
        <w:t xml:space="preserve">1.2  Market dan Business Drivers</w:t>
      </w:r>
    </w:p>
    <w:p>
      <w:pPr>
        <w:spacing w:after="120" w:line="276"/>
        <w:jc w:val="both"/>
      </w:pPr>
      <w:r>
        <w:rPr>
          <w:rFonts w:ascii="Times New Roman" w:cs="Times New Roman" w:eastAsia="Times New Roman" w:hAnsi="Times New Roman"/>
          <w:sz w:val="24"/>
          <w:szCs w:val="24"/>
        </w:rPr>
        <w:t xml:space="preserve">Kebutuhan akan sistem analitik risiko kebencanaan tidak berdiri sendiri sebagai kebutuhan teknis, tetapi didorong oleh sejumlah faktor bisnis dan kebijakan yang saling berkaitan. Tabel 1 merangkum pendorong utama tersebut beserta kontribusi solusi yang dirancang.</w:t>
      </w:r>
    </w:p>
    <w:p>
      <w:pPr>
        <w:spacing w:after="160" w:before="80"/>
        <w:jc w:val="center"/>
      </w:pPr>
      <w:r>
        <w:rPr>
          <w:rFonts w:ascii="Times New Roman" w:cs="Times New Roman" w:eastAsia="Times New Roman" w:hAnsi="Times New Roman"/>
          <w:sz w:val="20"/>
          <w:szCs w:val="20"/>
        </w:rPr>
        <w:t xml:space="preserve">Tabel 1. Market dan Business Drivers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0"/>
      </w:tblGrid>
      <w:tr>
        <w:trPr>
          <w:tblHeader/>
        </w:trPr>
        <w:tc>
          <w:tcPr>
            <w:tcW w:type="dxa" w:w="22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1"/>
                <w:szCs w:val="21"/>
              </w:rPr>
              <w:t xml:space="preserve">Driver</w:t>
            </w:r>
          </w:p>
        </w:tc>
        <w:tc>
          <w:tcPr>
            <w:tcW w:type="dxa" w:w="32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1"/>
                <w:szCs w:val="21"/>
              </w:rPr>
              <w:t xml:space="preserve">Kebutuhan</w:t>
            </w:r>
          </w:p>
        </w:tc>
        <w:tc>
          <w:tcPr>
            <w:tcW w:type="dxa" w:w="362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1"/>
                <w:szCs w:val="21"/>
              </w:rPr>
              <w:t xml:space="preserve">Kontribusi Solusi Big Data</w:t>
            </w:r>
          </w:p>
        </w:tc>
      </w:tr>
      <w:tr>
        <w:tc>
          <w:tcPr>
            <w:tcW w:type="dxa" w:w="2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Keselamatan publik</w:t>
            </w:r>
          </w:p>
        </w:tc>
        <w:tc>
          <w:tcPr>
            <w:tcW w:type="dxa" w:w="3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Mengurangi korban jiwa melalui kesiapsiagaan yang terarah</w:t>
            </w:r>
          </w:p>
        </w:tc>
        <w:tc>
          <w:tcPr>
            <w:tcW w:type="dxa" w:w="36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Klasifikasi risiko wilayah memungkinkan penempatan sumber daya kesiapsiagaan di zona berisiko tinggi sebelum kejadian berlangsung</w:t>
            </w:r>
          </w:p>
        </w:tc>
      </w:tr>
      <w:tr>
        <w:tc>
          <w:tcPr>
            <w:tcW w:type="dxa" w:w="2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Efisiensi anggaran mitigasi</w:t>
            </w:r>
          </w:p>
        </w:tc>
        <w:tc>
          <w:tcPr>
            <w:tcW w:type="dxa" w:w="3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Anggaran mitigasi terbatas dan harus dialokasikan secara selektif</w:t>
            </w:r>
          </w:p>
        </w:tc>
        <w:tc>
          <w:tcPr>
            <w:tcW w:type="dxa" w:w="36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Model memusatkan perhatian pada sekitar 15,6 persen kejadian berisiko tinggi sehingga fokus alokasi anggaran menyempit</w:t>
            </w:r>
          </w:p>
        </w:tc>
      </w:tr>
      <w:tr>
        <w:tc>
          <w:tcPr>
            <w:tcW w:type="dxa" w:w="2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Ketahanan infrastruktur</w:t>
            </w:r>
          </w:p>
        </w:tc>
        <w:tc>
          <w:tcPr>
            <w:tcW w:type="dxa" w:w="3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Standar konstruksi tahan gempa perlu diterapkan secara berjenjang</w:t>
            </w:r>
          </w:p>
        </w:tc>
        <w:tc>
          <w:tcPr>
            <w:tcW w:type="dxa" w:w="36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Peta risiko per zona menjadi dasar penentuan standar konstruksi yang berbeda antarwilayah</w:t>
            </w:r>
          </w:p>
        </w:tc>
      </w:tr>
      <w:tr>
        <w:tc>
          <w:tcPr>
            <w:tcW w:type="dxa" w:w="2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Transformasi digital pemerintah</w:t>
            </w:r>
          </w:p>
        </w:tc>
        <w:tc>
          <w:tcPr>
            <w:tcW w:type="dxa" w:w="3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Kebijakan berbasis bukti memerlukan data terpadu lintas lembaga</w:t>
            </w:r>
          </w:p>
        </w:tc>
        <w:tc>
          <w:tcPr>
            <w:tcW w:type="dxa" w:w="36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Pipeline memadukan sumber USGS dan BMKG dengan jejak asal data yang dapat ditelusuri</w:t>
            </w:r>
          </w:p>
        </w:tc>
      </w:tr>
      <w:tr>
        <w:tc>
          <w:tcPr>
            <w:tcW w:type="dxa" w:w="2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Akuntabilitas publik</w:t>
            </w:r>
          </w:p>
        </w:tc>
        <w:tc>
          <w:tcPr>
            <w:tcW w:type="dxa" w:w="3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Keputusan alokasi sumber daya harus dapat dipertanggungjawabkan</w:t>
            </w:r>
          </w:p>
        </w:tc>
        <w:tc>
          <w:tcPr>
            <w:tcW w:type="dxa" w:w="36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Setiap operasi data tercatat beserta jumlah baris sebelum dan sesudah sehingga dapat diaudit</w:t>
            </w:r>
          </w:p>
        </w:tc>
      </w:tr>
      <w:tr>
        <w:tc>
          <w:tcPr>
            <w:tcW w:type="dxa" w:w="2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Industri asuransi</w:t>
            </w:r>
          </w:p>
        </w:tc>
        <w:tc>
          <w:tcPr>
            <w:tcW w:type="dxa" w:w="3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Penetapan premi properti memerlukan penilaian risiko kuantitatif per lokasi</w:t>
            </w:r>
          </w:p>
        </w:tc>
        <w:tc>
          <w:tcPr>
            <w:tcW w:type="dxa" w:w="36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Skor risiko per zona dapat menjadi masukan model penetapan premi berbasis lokasi</w:t>
            </w:r>
          </w:p>
        </w:tc>
      </w:tr>
    </w:tbl>
    <w:p>
      <w:pPr>
        <w:spacing w:after="120" w:line="276"/>
        <w:jc w:val="both"/>
      </w:pPr>
      <w:r>
        <w:rPr>
          <w:rFonts w:ascii="Times New Roman" w:cs="Times New Roman" w:eastAsia="Times New Roman" w:hAnsi="Times New Roman"/>
          <w:sz w:val="24"/>
          <w:szCs w:val="24"/>
        </w:rPr>
        <w:t xml:space="preserve">Pendorong efisiensi anggaran layak memperoleh perhatian khusus karena berkaitan langsung dengan hasil kuantitatif penelitian ini. Dari 430 zona seismik yang teridentifikasi, model mengelompokkan sekitar 15,6 persen kejadian pada kategori risiko tinggi. Apabila prioritas mitigasi dipusatkan pada kelompok tersebut, alokasi sumber daya menjadi jauh lebih terarah daripada pendekatan merata yang tidak membedakan tingkat risiko antarwilayah. Penyempitan fokus ini bukan berarti mengabaikan wilayah lain, melainkan menetapkan urutan prioritas ketika sumber daya terbatas.</w:t>
      </w:r>
    </w:p>
    <w:p>
      <w:pPr>
        <w:spacing w:after="120" w:line="276"/>
        <w:jc w:val="both"/>
      </w:pPr>
      <w:r>
        <w:rPr>
          <w:rFonts w:ascii="Times New Roman" w:cs="Times New Roman" w:eastAsia="Times New Roman" w:hAnsi="Times New Roman"/>
          <w:sz w:val="24"/>
          <w:szCs w:val="24"/>
        </w:rPr>
        <w:t xml:space="preserve">Pendorong industri asuransi mewakili potensi pemanfaatan di luar sektor pemerintahan. Penetapan premi asuransi properti di Indonesia sebagian besar masih memakai zonasi risiko yang statis dan jarang diperbarui. Skor risiko yang dihasilkan sistem ini bersifat dinamis karena dihitung ulang setiap kali data baru masuk ke pipeline sehingga dapat mencerminkan perubahan pola aktivitas seismik dari waktu ke waktu.</w:t>
      </w:r>
    </w:p>
    <w:p>
      <w:pPr>
        <w:pStyle w:val="Heading2"/>
        <w:spacing w:after="120" w:before="240"/>
      </w:pPr>
      <w:r>
        <w:rPr>
          <w:rFonts w:ascii="Times New Roman" w:cs="Times New Roman" w:eastAsia="Times New Roman" w:hAnsi="Times New Roman"/>
          <w:b/>
          <w:bCs/>
          <w:sz w:val="26"/>
          <w:szCs w:val="26"/>
        </w:rPr>
        <w:t xml:space="preserve">1.3  Pemangku Kepentingan yang Terlibat</w:t>
      </w:r>
    </w:p>
    <w:p>
      <w:pPr>
        <w:spacing w:after="120" w:line="276"/>
        <w:jc w:val="both"/>
      </w:pPr>
      <w:r>
        <w:rPr>
          <w:rFonts w:ascii="Times New Roman" w:cs="Times New Roman" w:eastAsia="Times New Roman" w:hAnsi="Times New Roman"/>
          <w:sz w:val="24"/>
          <w:szCs w:val="24"/>
        </w:rPr>
        <w:t xml:space="preserve">Sistem yang dirancang melibatkan pemangku kepentingan dengan kebutuhan informasi yang berbeda-beda. Perbedaan tersebut berimplikasi langsung pada rancangan hak akses dan tingkat kerincian data yang disajikan, sebagaimana dibahas pada Bab III. Tabel 2 memetakan pemangku kepentingan, perannya, serta kebutuhan datanya.</w:t>
      </w:r>
    </w:p>
    <w:p>
      <w:pPr>
        <w:spacing w:after="160" w:before="80"/>
        <w:jc w:val="center"/>
      </w:pPr>
      <w:r>
        <w:rPr>
          <w:rFonts w:ascii="Times New Roman" w:cs="Times New Roman" w:eastAsia="Times New Roman" w:hAnsi="Times New Roman"/>
          <w:sz w:val="20"/>
          <w:szCs w:val="20"/>
        </w:rPr>
        <w:t xml:space="preserve">Tabel 2. Pemangku Kepentingan dan Perannya</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900"/>
        <w:gridCol w:w="3100"/>
        <w:gridCol w:w="4020"/>
      </w:tblGrid>
      <w:tr>
        <w:trPr>
          <w:tblHeader/>
        </w:trPr>
        <w:tc>
          <w:tcPr>
            <w:tcW w:type="dxa" w:w="19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1"/>
                <w:szCs w:val="21"/>
              </w:rPr>
              <w:t xml:space="preserve">Pemangku Kepentingan</w:t>
            </w:r>
          </w:p>
        </w:tc>
        <w:tc>
          <w:tcPr>
            <w:tcW w:type="dxa" w:w="31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1"/>
                <w:szCs w:val="21"/>
              </w:rPr>
              <w:t xml:space="preserve">Peran dalam Sistem</w:t>
            </w:r>
          </w:p>
        </w:tc>
        <w:tc>
          <w:tcPr>
            <w:tcW w:type="dxa" w:w="402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1"/>
                <w:szCs w:val="21"/>
              </w:rPr>
              <w:t xml:space="preserve">Kebutuhan Data dan Tingkat Akses</w:t>
            </w:r>
          </w:p>
        </w:tc>
      </w:tr>
      <w:tr>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BMKG</w:t>
            </w:r>
          </w:p>
        </w:tc>
        <w:tc>
          <w:tcPr>
            <w:tcW w:type="dxa" w:w="3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Penyedia data gempa mutakhir dan peringatan dini</w:t>
            </w:r>
          </w:p>
        </w:tc>
        <w:tc>
          <w:tcPr>
            <w:tcW w:type="dxa" w:w="40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Akses penuh terhadap data mentah dan hasil validasi silang untuk kalibrasi katalog internal</w:t>
            </w:r>
          </w:p>
        </w:tc>
      </w:tr>
      <w:tr>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BNPB</w:t>
            </w:r>
          </w:p>
        </w:tc>
        <w:tc>
          <w:tcPr>
            <w:tcW w:type="dxa" w:w="3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Koordinator penanggulangan bencana tingkat nasional</w:t>
            </w:r>
          </w:p>
        </w:tc>
        <w:tc>
          <w:tcPr>
            <w:tcW w:type="dxa" w:w="40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Skor risiko agregat per provinsi dan kabupaten untuk perencanaan kesiapsiagaan nasional</w:t>
            </w:r>
          </w:p>
        </w:tc>
      </w:tr>
      <w:tr>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BPBD daerah</w:t>
            </w:r>
          </w:p>
        </w:tc>
        <w:tc>
          <w:tcPr>
            <w:tcW w:type="dxa" w:w="3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Pelaksana operasional respons di tingkat daerah</w:t>
            </w:r>
          </w:p>
        </w:tc>
        <w:tc>
          <w:tcPr>
            <w:tcW w:type="dxa" w:w="40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Skor risiko dan riwayat kejadian pada wilayah administratif masing-masing</w:t>
            </w:r>
          </w:p>
        </w:tc>
      </w:tr>
      <w:tr>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Pemerintah daerah</w:t>
            </w:r>
          </w:p>
        </w:tc>
        <w:tc>
          <w:tcPr>
            <w:tcW w:type="dxa" w:w="3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Perumus kebijakan mitigasi dan tata ruang</w:t>
            </w:r>
          </w:p>
        </w:tc>
        <w:tc>
          <w:tcPr>
            <w:tcW w:type="dxa" w:w="40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Peta risiko wilayah sebagai dasar penyusunan rencana tata ruang dan alokasi anggaran</w:t>
            </w:r>
          </w:p>
        </w:tc>
      </w:tr>
      <w:tr>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Kementerian PUPR</w:t>
            </w:r>
          </w:p>
        </w:tc>
        <w:tc>
          <w:tcPr>
            <w:tcW w:type="dxa" w:w="3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Penetap standar konstruksi dan pemulihan infrastruktur</w:t>
            </w:r>
          </w:p>
        </w:tc>
        <w:tc>
          <w:tcPr>
            <w:tcW w:type="dxa" w:w="40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Klasifikasi risiko per zona sebagai dasar penetapan standar bangunan tahan gempa</w:t>
            </w:r>
          </w:p>
        </w:tc>
      </w:tr>
      <w:tr>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Masyarakat umum</w:t>
            </w:r>
          </w:p>
        </w:tc>
        <w:tc>
          <w:tcPr>
            <w:tcW w:type="dxa" w:w="3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Penerima informasi kesiapsiagaan</w:t>
            </w:r>
          </w:p>
        </w:tc>
        <w:tc>
          <w:tcPr>
            <w:tcW w:type="dxa" w:w="40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Informasi risiko tingkat kabupaten dalam bentuk agregat tanpa data individual</w:t>
            </w:r>
          </w:p>
        </w:tc>
      </w:tr>
      <w:tr>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Akademisi dan peneliti</w:t>
            </w:r>
          </w:p>
        </w:tc>
        <w:tc>
          <w:tcPr>
            <w:tcW w:type="dxa" w:w="3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Penguji metodologi dan pengembang model lanjutan</w:t>
            </w:r>
          </w:p>
        </w:tc>
        <w:tc>
          <w:tcPr>
            <w:tcW w:type="dxa" w:w="40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Dataset olahan beserta dokumentasi metodologi untuk keperluan reproduksi hasil</w:t>
            </w:r>
          </w:p>
        </w:tc>
      </w:tr>
      <w:tr>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Industri asuransi</w:t>
            </w:r>
          </w:p>
        </w:tc>
        <w:tc>
          <w:tcPr>
            <w:tcW w:type="dxa" w:w="3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Pengguna sekunder untuk penilaian risiko komersial</w:t>
            </w:r>
          </w:p>
        </w:tc>
        <w:tc>
          <w:tcPr>
            <w:tcW w:type="dxa" w:w="40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Skor risiko agregat per zona melalui mekanisme berbagi data yang diatur perjanjian</w:t>
            </w:r>
          </w:p>
        </w:tc>
      </w:tr>
    </w:tbl>
    <w:p>
      <w:pPr>
        <w:spacing w:after="120" w:line="276"/>
        <w:jc w:val="both"/>
      </w:pPr>
      <w:r>
        <w:rPr>
          <w:rFonts w:ascii="Times New Roman" w:cs="Times New Roman" w:eastAsia="Times New Roman" w:hAnsi="Times New Roman"/>
          <w:sz w:val="24"/>
          <w:szCs w:val="24"/>
        </w:rPr>
        <w:t xml:space="preserve">Pemetaan tersebut menunjukkan bahwa tidak semua pemangku kepentingan memerlukan tingkat kerincian yang sama. BMKG sebagai penyedia data sumber memerlukan akses terhadap data mentah untuk validasi silang, sedangkan masyarakat umum cukup memperoleh informasi agregat pada tingkat kabupaten. Perbedaan tersebut menjadi dasar penerapan kontrol akses berbasis peran yang dibahas pada Subbab 3.1.</w:t>
      </w:r>
    </w:p>
    <w:p>
      <w:r>
        <w:br w:type="page"/>
      </w:r>
    </w:p>
    <w:p>
      <w:pPr>
        <w:pStyle w:val="Heading1"/>
        <w:spacing w:after="240" w:before="240"/>
        <w:jc w:val="center"/>
      </w:pPr>
      <w:r>
        <w:rPr>
          <w:rFonts w:ascii="Times New Roman" w:cs="Times New Roman" w:eastAsia="Times New Roman" w:hAnsi="Times New Roman"/>
          <w:b/>
          <w:bCs/>
          <w:sz w:val="28"/>
          <w:szCs w:val="28"/>
        </w:rPr>
        <w:t xml:space="preserve">BAB II RANCANGAN SOLUSI BIG DATA</w:t>
      </w:r>
    </w:p>
    <w:p>
      <w:pPr>
        <w:spacing w:after="120" w:line="276"/>
        <w:jc w:val="both"/>
      </w:pPr>
      <w:r>
        <w:rPr>
          <w:rFonts w:ascii="Times New Roman" w:cs="Times New Roman" w:eastAsia="Times New Roman" w:hAnsi="Times New Roman"/>
          <w:sz w:val="24"/>
          <w:szCs w:val="24"/>
        </w:rPr>
        <w:t xml:space="preserve">Rancangan sistem disusun sebagai pipeline menyeluruh yang mencakup lima lapisan, yaitu sumber data, ingestion, penyimpanan, pemrosesan, dan penyajian. Pemisahan lapisan bertujuan agar setiap komponen dapat dikembangkan, diuji, dan diskalakan secara mandiri. Perubahan pada satu lapisan, misalnya penambahan sumber data baru, tidak mengharuskan perubahan pada lapisan pemrosesan selama kontrak antarmuka antarlapisan tetap terjaga.</w:t>
      </w:r>
    </w:p>
    <w:p>
      <w:pPr>
        <w:spacing w:after="120" w:line="276"/>
        <w:jc w:val="both"/>
      </w:pPr>
      <w:r>
        <w:rPr>
          <w:rFonts w:ascii="Times New Roman" w:cs="Times New Roman" w:eastAsia="Times New Roman" w:hAnsi="Times New Roman"/>
          <w:sz w:val="24"/>
          <w:szCs w:val="24"/>
        </w:rPr>
        <w:t xml:space="preserve">Pada penelitian ini kontrak antarlapisan diwujudkan sebagai berkas Parquet bernama earthquake_features.parquet yang dihasilkan lapisan pemrosesan awal dan dikonsumsi seluruh proses analitik berikutnya. Pendekatan berbasis kontrak tersebut terbukti bermanfaat ketika logika pembersihan data berubah. Perubahan cukup dilakukan pada satu titik, lalu seluruh proses hilir mengonsumsi hasil yang telah diperbarui tanpa modifikasi kode.</w:t>
      </w:r>
    </w:p>
    <w:p>
      <w:pPr>
        <w:spacing w:after="40" w:before="120"/>
        <w:jc w:val="center"/>
      </w:pPr>
      <w:r>
        <w:drawing>
          <wp:inline distT="0" distB="0" distL="0" distR="0">
            <wp:extent cx="581025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10250" cy="2743200"/>
                    </a:xfrm>
                    <a:prstGeom prst="rect">
                      <a:avLst/>
                    </a:prstGeom>
                  </pic:spPr>
                </pic:pic>
              </a:graphicData>
            </a:graphic>
          </wp:inline>
        </w:drawing>
      </w:r>
    </w:p>
    <w:p>
      <w:pPr>
        <w:spacing w:after="160" w:before="40"/>
        <w:jc w:val="center"/>
      </w:pPr>
      <w:r>
        <w:rPr>
          <w:rFonts w:ascii="Times New Roman" w:cs="Times New Roman" w:eastAsia="Times New Roman" w:hAnsi="Times New Roman"/>
          <w:sz w:val="20"/>
          <w:szCs w:val="20"/>
        </w:rPr>
        <w:t xml:space="preserve">Gambar 1. Arsitektur Big Data Prediksi Risiko Gempa Bumi</w:t>
      </w:r>
    </w:p>
    <w:p>
      <w:pPr>
        <w:spacing w:after="200" w:line="276"/>
        <w:jc w:val="both"/>
      </w:pPr>
      <w:r>
        <w:rPr>
          <w:rFonts w:ascii="Times New Roman" w:cs="Times New Roman" w:eastAsia="Times New Roman" w:hAnsi="Times New Roman"/>
          <w:sz w:val="24"/>
          <w:szCs w:val="24"/>
        </w:rPr>
        <w:t xml:space="preserve">Arsitektur konseptual pada Gambar 1 menunjukkan aliran data dari sumber eksternal menuju lapisan penyajian. Data USGS diambil melalui antarmuka pemrograman aplikasi FDSN dengan pemecahan permintaan per tahun, sedangkan data BMKG diambil melalui titik akhir JSON publik. Kedua aliran disimpan pada zona mentah yang bersifat tidak dapat diubah, lalu diproses melalui rangkaian operasi pembersihan sebelum disimpan dalam format Parquet yang teroptimasi untuk analitik.</w:t>
      </w:r>
    </w:p>
    <w:p>
      <w:pPr>
        <w:pStyle w:val="Heading2"/>
        <w:spacing w:after="120" w:before="240"/>
      </w:pPr>
      <w:r>
        <w:rPr>
          <w:rFonts w:ascii="Times New Roman" w:cs="Times New Roman" w:eastAsia="Times New Roman" w:hAnsi="Times New Roman"/>
          <w:b/>
          <w:bCs/>
          <w:sz w:val="26"/>
          <w:szCs w:val="26"/>
        </w:rPr>
        <w:t xml:space="preserve">2.1  Metode Pengumpulan Data</w:t>
      </w:r>
    </w:p>
    <w:p>
      <w:pPr>
        <w:spacing w:after="120" w:line="276"/>
        <w:jc w:val="both"/>
      </w:pPr>
      <w:r>
        <w:rPr>
          <w:rFonts w:ascii="Times New Roman" w:cs="Times New Roman" w:eastAsia="Times New Roman" w:hAnsi="Times New Roman"/>
          <w:sz w:val="24"/>
          <w:szCs w:val="24"/>
        </w:rPr>
        <w:t xml:space="preserve">Metode pengumpulan data dirancang dengan mempertimbangkan ciri dan keterbatasan setiap sumber. Tabel 3 memerinci sumber yang digunakan beserta elemen, format, dan klasifikasi tipenya.</w:t>
      </w:r>
    </w:p>
    <w:p>
      <w:pPr>
        <w:spacing w:after="160" w:before="80"/>
        <w:jc w:val="center"/>
      </w:pPr>
      <w:r>
        <w:rPr>
          <w:rFonts w:ascii="Times New Roman" w:cs="Times New Roman" w:eastAsia="Times New Roman" w:hAnsi="Times New Roman"/>
          <w:sz w:val="20"/>
          <w:szCs w:val="20"/>
        </w:rPr>
        <w:t xml:space="preserve">Tabel 3. Sumber, Elemen, Format, dan Tipe Data</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1400"/>
        <w:gridCol w:w="1500"/>
        <w:gridCol w:w="1420"/>
      </w:tblGrid>
      <w:tr>
        <w:trPr>
          <w:tblHeader/>
        </w:trPr>
        <w:tc>
          <w:tcPr>
            <w:tcW w:type="dxa" w:w="15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9"/>
                <w:szCs w:val="19"/>
              </w:rPr>
              <w:t xml:space="preserve">Sumber</w:t>
            </w:r>
          </w:p>
        </w:tc>
        <w:tc>
          <w:tcPr>
            <w:tcW w:type="dxa" w:w="32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9"/>
                <w:szCs w:val="19"/>
              </w:rPr>
              <w:t xml:space="preserve">Elemen Data</w:t>
            </w:r>
          </w:p>
        </w:tc>
        <w:tc>
          <w:tcPr>
            <w:tcW w:type="dxa" w:w="14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9"/>
                <w:szCs w:val="19"/>
              </w:rPr>
              <w:t xml:space="preserve">Format</w:t>
            </w:r>
          </w:p>
        </w:tc>
        <w:tc>
          <w:tcPr>
            <w:tcW w:type="dxa" w:w="15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9"/>
                <w:szCs w:val="19"/>
              </w:rPr>
              <w:t xml:space="preserve">Tipe</w:t>
            </w:r>
          </w:p>
        </w:tc>
        <w:tc>
          <w:tcPr>
            <w:tcW w:type="dxa" w:w="142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9"/>
                <w:szCs w:val="19"/>
              </w:rPr>
              <w:t xml:space="preserve">Volume</w:t>
            </w:r>
          </w:p>
        </w:tc>
      </w:tr>
      <w:tr>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USGS FDSN</w:t>
            </w:r>
          </w:p>
        </w:tc>
        <w:tc>
          <w:tcPr>
            <w:tcW w:type="dxa" w:w="3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Waktu, magnitudo, magType, kedalaman, koordinat, place, tsunami, sig, mmi, cdi, felt, gap, dmin, rms, nst</w:t>
            </w:r>
          </w:p>
        </w:tc>
        <w:tc>
          <w:tcPr>
            <w:tcW w:type="dxa" w:w="1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GeoJSON</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Semiterstruktur</w:t>
            </w:r>
          </w:p>
        </w:tc>
        <w:tc>
          <w:tcPr>
            <w:tcW w:type="dxa" w:w="14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23.874 rekaman</w:t>
            </w:r>
          </w:p>
        </w:tc>
      </w:tr>
      <w:tr>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BMKG Gempa Terkini</w:t>
            </w:r>
          </w:p>
        </w:tc>
        <w:tc>
          <w:tcPr>
            <w:tcW w:type="dxa" w:w="3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Tanggal, jam, koordinat, lintang, bujur, magnitudo, kedalaman, wilayah, potensi tsunami</w:t>
            </w:r>
          </w:p>
        </w:tc>
        <w:tc>
          <w:tcPr>
            <w:tcW w:type="dxa" w:w="1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JSON</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Semiterstruktur</w:t>
            </w:r>
          </w:p>
        </w:tc>
        <w:tc>
          <w:tcPr>
            <w:tcW w:type="dxa" w:w="14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15 rekaman</w:t>
            </w:r>
          </w:p>
        </w:tc>
      </w:tr>
      <w:tr>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BMKG Auto Gempa</w:t>
            </w:r>
          </w:p>
        </w:tc>
        <w:tc>
          <w:tcPr>
            <w:tcW w:type="dxa" w:w="3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Atribut gempa terkini beserta informasi dirasakan dan shakemap</w:t>
            </w:r>
          </w:p>
        </w:tc>
        <w:tc>
          <w:tcPr>
            <w:tcW w:type="dxa" w:w="1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JSON</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Semiterstruktur</w:t>
            </w:r>
          </w:p>
        </w:tc>
        <w:tc>
          <w:tcPr>
            <w:tcW w:type="dxa" w:w="14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1 rekaman</w:t>
            </w:r>
          </w:p>
        </w:tc>
      </w:tr>
    </w:tbl>
    <w:p>
      <w:pPr>
        <w:spacing w:after="120" w:line="276"/>
        <w:jc w:val="both"/>
      </w:pPr>
      <w:r>
        <w:rPr>
          <w:rFonts w:ascii="Times New Roman" w:cs="Times New Roman" w:eastAsia="Times New Roman" w:hAnsi="Times New Roman"/>
          <w:sz w:val="24"/>
          <w:szCs w:val="24"/>
        </w:rPr>
        <w:t xml:space="preserve">Klasifikasi kedua sumber sebagai data semiterstruktur perlu dijelaskan lebih lanjut karena keduanya berbeda ciri meskipun berada pada kategori yang sama. Data USGS berformat GeoJSON dengan struktur bersarang: atribut deskriptif berada pada objek properties, sedangkan koordinat dan kedalaman berada pada larik geometry.coordinates. Nilai numeriknya sudah bertipe data yang sesuai sehingga tidak memerlukan penguraian tambahan, tetapi struktur bersarang tersebut tetap perlu didatarkan menjadi bentuk tabular.</w:t>
      </w:r>
    </w:p>
    <w:p>
      <w:pPr>
        <w:spacing w:after="120" w:line="276"/>
        <w:jc w:val="both"/>
      </w:pPr>
      <w:r>
        <w:rPr>
          <w:rFonts w:ascii="Times New Roman" w:cs="Times New Roman" w:eastAsia="Times New Roman" w:hAnsi="Times New Roman"/>
          <w:sz w:val="24"/>
          <w:szCs w:val="24"/>
        </w:rPr>
        <w:t xml:space="preserve">Data BMKG memiliki tingkat kerumitan penguraian yang lebih tinggi. Meskipun berformat JSON, seluruh nilai numeriknya tersimpan sebagai untai teks yang memuat satuan dan penanda arah. Kedalaman tercatat sebagai “10 km”, lintang sebagai “2.80 LS”, dan bujur sebagai “130.25 BT”. Penguraian nilai tersebut memerlukan penanganan khusus, terutama konversi lintang selatan menjadi nilai negatif sesuai konvensi sistem koordinat standar. Selain itu, informasi potensi tsunami tercatat sebagai kalimat naratif, misalnya “Tidak berpotensi tsunami”, yang perlu dipetakan menjadi indikator biner.</w:t>
      </w:r>
    </w:p>
    <w:p>
      <w:pPr>
        <w:pStyle w:val="Heading3"/>
        <w:spacing w:after="100" w:before="180"/>
      </w:pPr>
      <w:r>
        <w:rPr>
          <w:rFonts w:ascii="Times New Roman" w:cs="Times New Roman" w:eastAsia="Times New Roman" w:hAnsi="Times New Roman"/>
          <w:b/>
          <w:bCs/>
          <w:sz w:val="24"/>
          <w:szCs w:val="24"/>
        </w:rPr>
        <w:t xml:space="preserve">Mekanisme Ingestion</w:t>
      </w:r>
    </w:p>
    <w:p>
      <w:pPr>
        <w:spacing w:after="120" w:line="276"/>
        <w:jc w:val="both"/>
      </w:pPr>
      <w:r>
        <w:rPr>
          <w:rFonts w:ascii="Times New Roman" w:cs="Times New Roman" w:eastAsia="Times New Roman" w:hAnsi="Times New Roman"/>
          <w:sz w:val="24"/>
          <w:szCs w:val="24"/>
        </w:rPr>
        <w:t xml:space="preserve">Pengambilan data USGS menghadapi kendala teknis berupa batas maksimum 20.000 rekaman per permintaan yang ditetapkan penyedia layanan. Berdasarkan pemeriksaan awal, jumlah kejadian gempa dengan magnitudo 4,0 ke atas di wilayah Indonesia sepanjang 2015 hingga 2026 mencapai 23.868 kejadian sehingga melampaui batas tersebut. Untuk mengatasinya, permintaan dipecah menjadi satu permintaan per tahun. Sebelum setiap permintaan data dilakukan, sistem lebih dahulu memanggil titik akhir count untuk memeriksa jumlah rekaman yang akan dikembalikan. Apabila jumlahnya masih melampaui batas, permintaan dipecah lebih lanjut menjadi per kuartal secara otomatis.</w:t>
      </w:r>
    </w:p>
    <w:p>
      <w:pPr>
        <w:spacing w:after="120" w:line="276"/>
        <w:jc w:val="both"/>
      </w:pPr>
      <w:r>
        <w:rPr>
          <w:rFonts w:ascii="Times New Roman" w:cs="Times New Roman" w:eastAsia="Times New Roman" w:hAnsi="Times New Roman"/>
          <w:sz w:val="24"/>
          <w:szCs w:val="24"/>
        </w:rPr>
        <w:t xml:space="preserve">Mekanisme percobaan ulang diterapkan dengan strategi backoff eksponensial sebanyak tiga kali percobaan untuk mengantisipasi kegagalan sementara pada jaringan atau layanan penyedia. Apabila seluruh percobaan gagal untuk satu tahun tertentu, proses tidak dihentikan secara keseluruhan, melainkan mencatat kegagalan pada log dan melanjutkan ke tahun berikutnya. Keputusan rancangan tersebut diambil karena kegagalan sebagian pada satu tahun tidak seharusnya membatalkan keseluruhan proses pengumpulan data yang telah berhasil untuk tahun lain.</w:t>
      </w:r>
    </w:p>
    <w:p>
      <w:pPr>
        <w:spacing w:after="120" w:line="276"/>
        <w:jc w:val="both"/>
      </w:pPr>
      <w:r>
        <w:rPr>
          <w:rFonts w:ascii="Times New Roman" w:cs="Times New Roman" w:eastAsia="Times New Roman" w:hAnsi="Times New Roman"/>
          <w:sz w:val="24"/>
          <w:szCs w:val="24"/>
        </w:rPr>
        <w:t xml:space="preserve">Hasil eksekusi menunjukkan seluruh dua belas tahun berhasil diambil tanpa kegagalan dengan total 23.874 rekaman dari USGS dan 15 rekaman dari BMKG. Selisih enam rekaman dibandingkan dengan hasil pemeriksaan awal disebabkan oleh penambahan kejadian baru pada rentang waktu antara pemeriksaan dan pengambilan data.</w:t>
      </w:r>
    </w:p>
    <w:p>
      <w:pPr>
        <w:spacing w:after="40" w:before="120"/>
        <w:jc w:val="center"/>
      </w:pPr>
      <w:r>
        <w:drawing>
          <wp:inline distT="0" distB="0" distL="0" distR="0">
            <wp:extent cx="581025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2428875"/>
                    </a:xfrm>
                    <a:prstGeom prst="rect">
                      <a:avLst/>
                    </a:prstGeom>
                  </pic:spPr>
                </pic:pic>
              </a:graphicData>
            </a:graphic>
          </wp:inline>
        </w:drawing>
      </w:r>
    </w:p>
    <w:p>
      <w:pPr>
        <w:spacing w:after="160" w:before="40"/>
        <w:jc w:val="center"/>
      </w:pPr>
      <w:r>
        <w:rPr>
          <w:rFonts w:ascii="Times New Roman" w:cs="Times New Roman" w:eastAsia="Times New Roman" w:hAnsi="Times New Roman"/>
          <w:sz w:val="20"/>
          <w:szCs w:val="20"/>
        </w:rPr>
        <w:t xml:space="preserve">Gambar 2. Alur Pipeline Operasional dari Ingestion sampai Dashboard</w:t>
      </w:r>
    </w:p>
    <w:p>
      <w:pPr>
        <w:spacing w:after="200" w:line="276"/>
        <w:jc w:val="both"/>
      </w:pPr>
      <w:r>
        <w:rPr>
          <w:rFonts w:ascii="Times New Roman" w:cs="Times New Roman" w:eastAsia="Times New Roman" w:hAnsi="Times New Roman"/>
          <w:sz w:val="24"/>
          <w:szCs w:val="24"/>
        </w:rPr>
        <w:t xml:space="preserve">Gambar 2 menggambarkan alur operasional secara lengkap. Data mentah disimpan lebih dahulu pada zona mentah sebagai berkas JSON terpisah per tahun sebelum diproses. Penyimpanan data mentah secara utuh memungkinkan pemrosesan ulang dilakukan kapan saja tanpa perlu mengambil ulang data dari sumber. Hal tersebut penting bagi keterulangan hasil penelitian.</w:t>
      </w:r>
    </w:p>
    <w:p>
      <w:pPr>
        <w:pStyle w:val="Heading2"/>
        <w:spacing w:after="120" w:before="240"/>
      </w:pPr>
      <w:r>
        <w:rPr>
          <w:rFonts w:ascii="Times New Roman" w:cs="Times New Roman" w:eastAsia="Times New Roman" w:hAnsi="Times New Roman"/>
          <w:b/>
          <w:bCs/>
          <w:sz w:val="26"/>
          <w:szCs w:val="26"/>
        </w:rPr>
        <w:t xml:space="preserve">2.2  Teknologi Penyimpanan Data</w:t>
      </w:r>
    </w:p>
    <w:p>
      <w:pPr>
        <w:spacing w:after="120" w:line="276"/>
        <w:jc w:val="both"/>
      </w:pPr>
      <w:r>
        <w:rPr>
          <w:rFonts w:ascii="Times New Roman" w:cs="Times New Roman" w:eastAsia="Times New Roman" w:hAnsi="Times New Roman"/>
          <w:sz w:val="24"/>
          <w:szCs w:val="24"/>
        </w:rPr>
        <w:t xml:space="preserve">Pemilihan teknologi penyimpanan didasarkan pada ciri data pada setiap tahap pemrosesan. Tabel 4 merangkum teknologi yang digunakan pada masing-masing lapisan beserta alasan pemilihannya.</w:t>
      </w:r>
    </w:p>
    <w:p>
      <w:pPr>
        <w:spacing w:after="160" w:before="80"/>
        <w:jc w:val="center"/>
      </w:pPr>
      <w:r>
        <w:rPr>
          <w:rFonts w:ascii="Times New Roman" w:cs="Times New Roman" w:eastAsia="Times New Roman" w:hAnsi="Times New Roman"/>
          <w:sz w:val="20"/>
          <w:szCs w:val="20"/>
        </w:rPr>
        <w:t xml:space="preserve">Tabel 4. Teknologi Penyimpanan Data per Layer</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2700"/>
        <w:gridCol w:w="2820"/>
      </w:tblGrid>
      <w:tr>
        <w:trPr>
          <w:tblHeader/>
        </w:trPr>
        <w:tc>
          <w:tcPr>
            <w:tcW w:type="dxa" w:w="16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9"/>
                <w:szCs w:val="19"/>
              </w:rPr>
              <w:t xml:space="preserve">Layer</w:t>
            </w:r>
          </w:p>
        </w:tc>
        <w:tc>
          <w:tcPr>
            <w:tcW w:type="dxa" w:w="19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9"/>
                <w:szCs w:val="19"/>
              </w:rPr>
              <w:t xml:space="preserve">Teknologi</w:t>
            </w:r>
          </w:p>
        </w:tc>
        <w:tc>
          <w:tcPr>
            <w:tcW w:type="dxa" w:w="27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9"/>
                <w:szCs w:val="19"/>
              </w:rPr>
              <w:t xml:space="preserve">Fungsi</w:t>
            </w:r>
          </w:p>
        </w:tc>
        <w:tc>
          <w:tcPr>
            <w:tcW w:type="dxa" w:w="282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9"/>
                <w:szCs w:val="19"/>
              </w:rPr>
              <w:t xml:space="preserve">Alasan Pemilihan</w:t>
            </w:r>
          </w:p>
        </w:tc>
      </w:tr>
      <w:tr>
        <w:tc>
          <w:tcPr>
            <w:tcW w:type="dxa" w:w="1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Raw zone</w:t>
            </w:r>
          </w:p>
        </w:tc>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Object storage berbasis berkas JSON</w:t>
            </w:r>
          </w:p>
        </w:tc>
        <w:tc>
          <w:tcPr>
            <w:tcW w:type="dxa" w:w="2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Menyimpan respons mentah dari sumber tanpa modifikasi</w:t>
            </w:r>
          </w:p>
        </w:tc>
        <w:tc>
          <w:tcPr>
            <w:tcW w:type="dxa" w:w="28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Format asli dipertahankan agar pemrosesan ulang dimungkinkan; sifat tidak dapat diubah menjaga jejak audit</w:t>
            </w:r>
          </w:p>
        </w:tc>
      </w:tr>
      <w:tr>
        <w:tc>
          <w:tcPr>
            <w:tcW w:type="dxa" w:w="1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Processed zone</w:t>
            </w:r>
          </w:p>
        </w:tc>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Apache Parquet</w:t>
            </w:r>
          </w:p>
        </w:tc>
        <w:tc>
          <w:tcPr>
            <w:tcW w:type="dxa" w:w="2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Menyimpan data bersih yang siap dianalisis</w:t>
            </w:r>
          </w:p>
        </w:tc>
        <w:tc>
          <w:tcPr>
            <w:tcW w:type="dxa" w:w="28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Penyimpanan kolumnar dengan kompresi tinggi; berkas 19.266 baris dengan 31 kolom hanya berukuran 1,3 MB</w:t>
            </w:r>
          </w:p>
        </w:tc>
      </w:tr>
      <w:tr>
        <w:tc>
          <w:tcPr>
            <w:tcW w:type="dxa" w:w="1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Interim zone</w:t>
            </w:r>
          </w:p>
        </w:tc>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Berkas CSV</w:t>
            </w:r>
          </w:p>
        </w:tc>
        <w:tc>
          <w:tcPr>
            <w:tcW w:type="dxa" w:w="2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Menyimpan hasil agregasi antara dan log operasi</w:t>
            </w:r>
          </w:p>
        </w:tc>
        <w:tc>
          <w:tcPr>
            <w:tcW w:type="dxa" w:w="28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Format sederhana yang mudah diperiksa secara manual saat penelusuran masalah</w:t>
            </w:r>
          </w:p>
        </w:tc>
      </w:tr>
      <w:tr>
        <w:tc>
          <w:tcPr>
            <w:tcW w:type="dxa" w:w="1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Data warehouse</w:t>
            </w:r>
          </w:p>
        </w:tc>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PostgreSQL dengan ekstensi PostGIS</w:t>
            </w:r>
          </w:p>
        </w:tc>
        <w:tc>
          <w:tcPr>
            <w:tcW w:type="dxa" w:w="2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Menyediakan kueri agregat dan analisis spasial</w:t>
            </w:r>
          </w:p>
        </w:tc>
        <w:tc>
          <w:tcPr>
            <w:tcW w:type="dxa" w:w="28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Dukungan tipe data geometri dan indeks spasial untuk kueri berbasis radius</w:t>
            </w:r>
          </w:p>
        </w:tc>
      </w:tr>
      <w:tr>
        <w:tc>
          <w:tcPr>
            <w:tcW w:type="dxa" w:w="1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Metadata catalog</w:t>
            </w:r>
          </w:p>
        </w:tc>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Hive Metastore</w:t>
            </w:r>
          </w:p>
        </w:tc>
        <w:tc>
          <w:tcPr>
            <w:tcW w:type="dxa" w:w="2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Mencatat skema, asal data, dan versi dataset</w:t>
            </w:r>
          </w:p>
        </w:tc>
        <w:tc>
          <w:tcPr>
            <w:tcW w:type="dxa" w:w="28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Memungkinkan penelusuran asal-usul setiap kolom hingga sumber aslinya</w:t>
            </w:r>
          </w:p>
        </w:tc>
      </w:tr>
    </w:tbl>
    <w:p>
      <w:pPr>
        <w:spacing w:after="120" w:line="276"/>
        <w:jc w:val="both"/>
      </w:pPr>
      <w:r>
        <w:rPr>
          <w:rFonts w:ascii="Times New Roman" w:cs="Times New Roman" w:eastAsia="Times New Roman" w:hAnsi="Times New Roman"/>
          <w:sz w:val="24"/>
          <w:szCs w:val="24"/>
        </w:rPr>
        <w:t xml:space="preserve">Pemilihan format Parquet untuk zona terproses memberikan keuntungan yang terukur. Dataset akhir yang terdiri atas 19.266 baris dengan 31 kolom hanya menempati 1,3 MB, jauh lebih kecil daripada data mentah JSON yang berukuran puluhan megabita. Efisiensi tersebut bersumber pada dua mekanisme, yaitu penyimpanan kolumnar yang memungkinkan kompresi lebih optimal karena nilai dalam satu kolom cenderung seragam, serta pemuatan selektif yang memungkinkan proses analitik hanya membaca kolom yang dibutuhkan.</w:t>
      </w:r>
    </w:p>
    <w:p>
      <w:pPr>
        <w:spacing w:after="120" w:line="276"/>
        <w:jc w:val="both"/>
      </w:pPr>
      <w:r>
        <w:rPr>
          <w:rFonts w:ascii="Times New Roman" w:cs="Times New Roman" w:eastAsia="Times New Roman" w:hAnsi="Times New Roman"/>
          <w:sz w:val="24"/>
          <w:szCs w:val="24"/>
        </w:rPr>
        <w:t xml:space="preserve">Keputusan untuk tidak memakai basis data NoSQL berorientasi dokumen seperti MongoDB pada zona terproses didasarkan pada ciri data setelah pembersihan. Setelah pendataran dan standardisasi, struktur data menjadi sepenuhnya tabular dengan skema tetap. Keunggulan utama basis data dokumen berupa keluwesan skema justru tidak diperlukan pada tahap tersebut, sedangkan keunggulan Parquet berupa efisiensi analitik kolumnar sangat sesuai dengan pola akses yang didominasi operasi agregasi dan pemindaian kolom.</w:t>
      </w:r>
    </w:p>
    <w:p>
      <w:pPr>
        <w:spacing w:after="120" w:line="276"/>
        <w:jc w:val="both"/>
      </w:pPr>
      <w:r>
        <w:rPr>
          <w:rFonts w:ascii="Times New Roman" w:cs="Times New Roman" w:eastAsia="Times New Roman" w:hAnsi="Times New Roman"/>
          <w:sz w:val="24"/>
          <w:szCs w:val="24"/>
        </w:rPr>
        <w:t xml:space="preserve">PostGIS tetap dipertahankan dalam rancangan meskipun belum diimplementasikan sepenuhnya pada penelitian ini karena kebutuhan analisis spasial berbasis radius dan poligon administratif akan muncul ketika sistem dikembangkan menjadi dasbor operasional. Pada tahap saat ini, kebutuhan spasial masih dapat dipenuhi melalui pendekatan grid satu derajat yang dihitung langsung dari koordinat.</w:t>
      </w:r>
    </w:p>
    <w:p>
      <w:pPr>
        <w:pStyle w:val="Heading2"/>
        <w:spacing w:after="120" w:before="240"/>
      </w:pPr>
      <w:r>
        <w:rPr>
          <w:rFonts w:ascii="Times New Roman" w:cs="Times New Roman" w:eastAsia="Times New Roman" w:hAnsi="Times New Roman"/>
          <w:b/>
          <w:bCs/>
          <w:sz w:val="26"/>
          <w:szCs w:val="26"/>
        </w:rPr>
        <w:t xml:space="preserve">2.3  Processing Framework</w:t>
      </w:r>
    </w:p>
    <w:p>
      <w:pPr>
        <w:spacing w:after="120" w:line="276"/>
        <w:jc w:val="both"/>
      </w:pPr>
      <w:r>
        <w:rPr>
          <w:rFonts w:ascii="Times New Roman" w:cs="Times New Roman" w:eastAsia="Times New Roman" w:hAnsi="Times New Roman"/>
          <w:sz w:val="24"/>
          <w:szCs w:val="24"/>
        </w:rPr>
        <w:t xml:space="preserve">Pemilihan kerangka kerja pemrosesan memerlukan pertimbangan cermat karena berdampak langsung pada kerumitan implementasi dan kebutuhan sumber daya komputasi. Tabel 5 membandingkan tiga kerangka kerja utama yang dipertimbangkan.</w:t>
      </w:r>
    </w:p>
    <w:p>
      <w:pPr>
        <w:spacing w:after="160" w:before="80"/>
        <w:jc w:val="center"/>
      </w:pPr>
      <w:r>
        <w:rPr>
          <w:rFonts w:ascii="Times New Roman" w:cs="Times New Roman" w:eastAsia="Times New Roman" w:hAnsi="Times New Roman"/>
          <w:sz w:val="20"/>
          <w:szCs w:val="20"/>
        </w:rPr>
        <w:t xml:space="preserve">Tabel 5. Perbandingan Processing Framework</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700"/>
        <w:gridCol w:w="2440"/>
        <w:gridCol w:w="2440"/>
        <w:gridCol w:w="2440"/>
      </w:tblGrid>
      <w:tr>
        <w:trPr>
          <w:tblHeader/>
        </w:trPr>
        <w:tc>
          <w:tcPr>
            <w:tcW w:type="dxa" w:w="17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9"/>
                <w:szCs w:val="19"/>
              </w:rPr>
              <w:t xml:space="preserve">Aspek</w:t>
            </w:r>
          </w:p>
        </w:tc>
        <w:tc>
          <w:tcPr>
            <w:tcW w:type="dxa" w:w="244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9"/>
                <w:szCs w:val="19"/>
              </w:rPr>
              <w:t xml:space="preserve">Hadoop MapReduce</w:t>
            </w:r>
          </w:p>
        </w:tc>
        <w:tc>
          <w:tcPr>
            <w:tcW w:type="dxa" w:w="244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9"/>
                <w:szCs w:val="19"/>
              </w:rPr>
              <w:t xml:space="preserve">Apache Spark</w:t>
            </w:r>
          </w:p>
        </w:tc>
        <w:tc>
          <w:tcPr>
            <w:tcW w:type="dxa" w:w="244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9"/>
                <w:szCs w:val="19"/>
              </w:rPr>
              <w:t xml:space="preserve">Apache Flink</w:t>
            </w:r>
          </w:p>
        </w:tc>
      </w:tr>
      <w:tr>
        <w:tc>
          <w:tcPr>
            <w:tcW w:type="dxa" w:w="1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Model pemrosesan</w:t>
            </w:r>
          </w:p>
        </w:tc>
        <w:tc>
          <w:tcPr>
            <w:tcW w:type="dxa" w:w="244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Batch murni dengan penulisan ke diska pada setiap tahap</w:t>
            </w:r>
          </w:p>
        </w:tc>
        <w:tc>
          <w:tcPr>
            <w:tcW w:type="dxa" w:w="244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Batch dan micro-batch dengan komputasi dalam memori</w:t>
            </w:r>
          </w:p>
        </w:tc>
        <w:tc>
          <w:tcPr>
            <w:tcW w:type="dxa" w:w="244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Streaming murni dengan dukungan batch sebagai kasus khusus</w:t>
            </w:r>
          </w:p>
        </w:tc>
      </w:tr>
      <w:tr>
        <w:tc>
          <w:tcPr>
            <w:tcW w:type="dxa" w:w="1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Latensi</w:t>
            </w:r>
          </w:p>
        </w:tc>
        <w:tc>
          <w:tcPr>
            <w:tcW w:type="dxa" w:w="244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Tinggi, dalam orde menit hingga jam</w:t>
            </w:r>
          </w:p>
        </w:tc>
        <w:tc>
          <w:tcPr>
            <w:tcW w:type="dxa" w:w="244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Menengah, dalam orde detik hingga menit</w:t>
            </w:r>
          </w:p>
        </w:tc>
        <w:tc>
          <w:tcPr>
            <w:tcW w:type="dxa" w:w="244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Rendah, dalam orde milidetik</w:t>
            </w:r>
          </w:p>
        </w:tc>
      </w:tr>
      <w:tr>
        <w:tc>
          <w:tcPr>
            <w:tcW w:type="dxa" w:w="1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Dukungan Machine Learning</w:t>
            </w:r>
          </w:p>
        </w:tc>
        <w:tc>
          <w:tcPr>
            <w:tcW w:type="dxa" w:w="244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Terbatas, memerlukan Mahout yang tidak lagi aktif dikembangkan</w:t>
            </w:r>
          </w:p>
        </w:tc>
        <w:tc>
          <w:tcPr>
            <w:tcW w:type="dxa" w:w="244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MLlib terpadu dengan cakupan algoritme luas</w:t>
            </w:r>
          </w:p>
        </w:tc>
        <w:tc>
          <w:tcPr>
            <w:tcW w:type="dxa" w:w="244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FlinkML dengan cakupan algoritme lebih terbatas</w:t>
            </w:r>
          </w:p>
        </w:tc>
      </w:tr>
      <w:tr>
        <w:tc>
          <w:tcPr>
            <w:tcW w:type="dxa" w:w="1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Kesesuaian dengan kasus ini</w:t>
            </w:r>
          </w:p>
        </w:tc>
        <w:tc>
          <w:tcPr>
            <w:tcW w:type="dxa" w:w="244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Rendah karena beban kerja didominasi iterasi pelatihan model</w:t>
            </w:r>
          </w:p>
        </w:tc>
        <w:tc>
          <w:tcPr>
            <w:tcW w:type="dxa" w:w="244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Tinggi karena mendukung pemrosesan batch dan pelatihan model dalam satu kerangka</w:t>
            </w:r>
          </w:p>
        </w:tc>
        <w:tc>
          <w:tcPr>
            <w:tcW w:type="dxa" w:w="244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Menengah karena kebutuhan streaming belum menjadi prioritas utama</w:t>
            </w:r>
          </w:p>
        </w:tc>
      </w:tr>
    </w:tbl>
    <w:p>
      <w:pPr>
        <w:spacing w:after="120" w:line="276"/>
        <w:jc w:val="both"/>
      </w:pPr>
      <w:r>
        <w:rPr>
          <w:rFonts w:ascii="Times New Roman" w:cs="Times New Roman" w:eastAsia="Times New Roman" w:hAnsi="Times New Roman"/>
          <w:sz w:val="24"/>
          <w:szCs w:val="24"/>
        </w:rPr>
        <w:t xml:space="preserve">Apache Spark dipilih sebagai kerangka kerja utama berdasarkan tiga pertimbangan. Pertama, beban kerja penelitian ini didominasi pemrosesan batch atas data historis dan pelatihan model yang bersifat iteratif. Hadoop MapReduce menuliskan hasil antara ke diska pada setiap tahap sehingga tidak efisien untuk algoritme iteratif seperti Random Forest yang memerlukan pembacaan berulang atas data yang sama. Spark menyimpan data antara dalam memori sehingga iterasi berikutnya tidak perlu membaca ulang dari diska.</w:t>
      </w:r>
    </w:p>
    <w:p>
      <w:pPr>
        <w:spacing w:after="120" w:line="276"/>
        <w:jc w:val="both"/>
      </w:pPr>
      <w:r>
        <w:rPr>
          <w:rFonts w:ascii="Times New Roman" w:cs="Times New Roman" w:eastAsia="Times New Roman" w:hAnsi="Times New Roman"/>
          <w:sz w:val="24"/>
          <w:szCs w:val="24"/>
        </w:rPr>
        <w:t xml:space="preserve">Kedua, Spark menyediakan MLlib yang terpadu dalam kerangka yang sama sehingga pembersihan data, rekayasa fitur, dan pelatihan model dapat dilakukan dalam satu pipeline tanpa perpindahan antarsistem. Ketiga, konsep Pipeline pada Spark memungkinkan seluruh tahap transformasi dan pelatihan dirangkai sebagai satu objek yang dapat divalidasi silang secara utuh sehingga mencegah kebocoran data antara tahap transformasi dan tahap pelatihan.</w:t>
      </w:r>
    </w:p>
    <w:p>
      <w:pPr>
        <w:spacing w:after="120" w:line="276"/>
        <w:jc w:val="both"/>
      </w:pPr>
      <w:r>
        <w:rPr>
          <w:rFonts w:ascii="Times New Roman" w:cs="Times New Roman" w:eastAsia="Times New Roman" w:hAnsi="Times New Roman"/>
          <w:sz w:val="24"/>
          <w:szCs w:val="24"/>
        </w:rPr>
        <w:t xml:space="preserve">Apache Flink tidak dipilih meskipun unggul pada latensi streaming karena kebutuhan utama penelitian ini adalah analisis pola historis jangka panjang, bukan deteksi kejadian secara langsung. Meskipun demikian, Flink tetap relevan untuk pengembangan lanjutan apabila sistem dikembangkan menjadi sistem peringatan dini yang memerlukan pemrosesan aliran data secara berkelanjutan.</w:t>
      </w:r>
    </w:p>
    <w:p>
      <w:pPr>
        <w:spacing w:after="120" w:line="276"/>
        <w:jc w:val="both"/>
      </w:pPr>
      <w:r>
        <w:rPr>
          <w:rFonts w:ascii="Times New Roman" w:cs="Times New Roman" w:eastAsia="Times New Roman" w:hAnsi="Times New Roman"/>
          <w:sz w:val="24"/>
          <w:szCs w:val="24"/>
        </w:rPr>
        <w:t xml:space="preserve">Perlu dicatat secara terbuka bahwa pada skala data penelitian ini, yaitu 19.266 baris, keunggulan Spark belum terwujud sebagai waktu eksekusi yang lebih cepat. Sebagaimana dibahas pada Subbab 5.6, pelatihan model dengan Spark MLlib justru memerlukan waktu jauh lebih lama daripada scikit-learn karena beban tambahan berupa penyiapan Java Virtual Machine dan koordinasi tugas terdistribusi. Pemilihan Spark pada rancangan ini berpijak pada pertimbangan skalabilitas jangka panjang, bukan pada efisiensi pada skala data saat ini.</w:t>
      </w:r>
    </w:p>
    <w:p>
      <w:r>
        <w:br w:type="page"/>
      </w:r>
    </w:p>
    <w:p>
      <w:pPr>
        <w:pStyle w:val="Heading1"/>
        <w:spacing w:after="240" w:before="240"/>
        <w:jc w:val="center"/>
      </w:pPr>
      <w:r>
        <w:rPr>
          <w:rFonts w:ascii="Times New Roman" w:cs="Times New Roman" w:eastAsia="Times New Roman" w:hAnsi="Times New Roman"/>
          <w:b/>
          <w:bCs/>
          <w:sz w:val="28"/>
          <w:szCs w:val="28"/>
        </w:rPr>
        <w:t xml:space="preserve">BAB III TATA KELOLA IT</w:t>
      </w:r>
    </w:p>
    <w:p>
      <w:pPr>
        <w:spacing w:after="120" w:line="276"/>
        <w:jc w:val="both"/>
      </w:pPr>
      <w:r>
        <w:rPr>
          <w:rFonts w:ascii="Times New Roman" w:cs="Times New Roman" w:eastAsia="Times New Roman" w:hAnsi="Times New Roman"/>
          <w:sz w:val="24"/>
          <w:szCs w:val="24"/>
        </w:rPr>
        <w:t xml:space="preserve">Tata kelola teknologi informasi pada sistem ini mencakup empat aspek yang saling berkaitan, yaitu keamanan, kepatuhan terhadap regulasi, perlindungan privasi, dan penjaminan mutu data. Meskipun data kegempaan pada dasarnya merupakan data publik yang tidak memuat informasi pribadi, sistem tetap memerlukan tata kelola yang memadai karena hasil analisisnya dipakai sebagai dasar pengambilan keputusan yang berdampak pada alokasi sumber daya publik.</w:t>
      </w:r>
    </w:p>
    <w:p>
      <w:pPr>
        <w:pStyle w:val="Heading2"/>
        <w:spacing w:after="120" w:before="240"/>
      </w:pPr>
      <w:r>
        <w:rPr>
          <w:rFonts w:ascii="Times New Roman" w:cs="Times New Roman" w:eastAsia="Times New Roman" w:hAnsi="Times New Roman"/>
          <w:b/>
          <w:bCs/>
          <w:sz w:val="26"/>
          <w:szCs w:val="26"/>
        </w:rPr>
        <w:t xml:space="preserve">3.1  Security</w:t>
      </w:r>
    </w:p>
    <w:p>
      <w:pPr>
        <w:spacing w:after="120" w:line="276"/>
        <w:jc w:val="both"/>
      </w:pPr>
      <w:r>
        <w:rPr>
          <w:rFonts w:ascii="Times New Roman" w:cs="Times New Roman" w:eastAsia="Times New Roman" w:hAnsi="Times New Roman"/>
          <w:sz w:val="24"/>
          <w:szCs w:val="24"/>
        </w:rPr>
        <w:t xml:space="preserve">Aspek keamanan diterapkan pada tiga lapisan. Pada lapisan transmisi, seluruh komunikasi dengan sumber eksternal memakai protokol HTTPS dengan enkripsi TLS. Hal tersebut penting bukan karena kerahasiaan data kegempaan, melainkan untuk menjamin keutuhan data selama transmisi. Tanpa enkripsi transmisi, data dapat diubah di tengah jalur komunikasi, dan perubahan pada nilai magnitudo atau koordinat akan menghasilkan simpulan analitik yang keliru.</w:t>
      </w:r>
    </w:p>
    <w:p>
      <w:pPr>
        <w:spacing w:after="120" w:line="276"/>
        <w:jc w:val="both"/>
      </w:pPr>
      <w:r>
        <w:rPr>
          <w:rFonts w:ascii="Times New Roman" w:cs="Times New Roman" w:eastAsia="Times New Roman" w:hAnsi="Times New Roman"/>
          <w:sz w:val="24"/>
          <w:szCs w:val="24"/>
        </w:rPr>
        <w:t xml:space="preserve">Pada lapisan penyimpanan, enkripsi diterapkan terhadap data yang tersimpan, baik pada zona mentah maupun zona terproses. Kunci enkripsi dikelola melalui layanan manajemen kunci terpisah dan tidak disimpan bersama data. Pada lapisan akses, kontrol berbasis peran diterapkan sesuai pemetaan pemangku kepentingan pada Tabel 2. Peran administrator sistem memiliki akses penuh terhadap seluruh lapisan, peran analis data memiliki akses baca terhadap zona terproses, peran petugas daerah memiliki akses terbatas pada wilayah kewenangannya, sedangkan peran pengguna publik hanya dapat mengakses data agregat melalui antarmuka dasbor.</w:t>
      </w:r>
    </w:p>
    <w:p>
      <w:pPr>
        <w:spacing w:after="120" w:line="276"/>
        <w:jc w:val="both"/>
      </w:pPr>
      <w:r>
        <w:rPr>
          <w:rFonts w:ascii="Times New Roman" w:cs="Times New Roman" w:eastAsia="Times New Roman" w:hAnsi="Times New Roman"/>
          <w:sz w:val="24"/>
          <w:szCs w:val="24"/>
        </w:rPr>
        <w:t xml:space="preserve">Prinsip hak akses minimum diterapkan pada akun layanan yang menjalankan pipeline. Akun yang melakukan ingestion hanya memiliki izin tulis terhadap zona mentah dan tidak memiliki izin baca terhadap zona terproses, sedangkan akun yang menjalankan pemrosesan memiliki izin baca terhadap zona mentah dan izin tulis terhadap zona terproses. Pemisahan tersebut membatasi dampak apabila salah satu kredensial akun terkompromi.</w:t>
      </w:r>
    </w:p>
    <w:p>
      <w:pPr>
        <w:spacing w:after="120" w:line="276"/>
        <w:jc w:val="both"/>
      </w:pPr>
      <w:r>
        <w:rPr>
          <w:rFonts w:ascii="Times New Roman" w:cs="Times New Roman" w:eastAsia="Times New Roman" w:hAnsi="Times New Roman"/>
          <w:sz w:val="24"/>
          <w:szCs w:val="24"/>
        </w:rPr>
        <w:t xml:space="preserve">Selama pengembangan penelitian ini ditemukan satu insiden keamanan yang layak dicatat sebagai pembelajaran. Token akses pribadi GitHub sempat ditulis langsung di dalam kode notebook untuk keperluan otentikasi repositori. Praktik tersebut berisiko karena token akan ikut tersimpan dalam riwayat versi dan dapat diakses siapa pun yang memiliki akses terhadap repositori. Perbaikan dilakukan dengan memindahkan penyimpanan token ke fasilitas Secrets pada lingkungan pengembangan sehingga token tidak lagi muncul dalam kode sumber. Insiden tersebut menegaskan pentingnya pemisahan antara kode dan kredensial sebagai praktik baku pengembangan.</w:t>
      </w:r>
    </w:p>
    <w:p>
      <w:pPr>
        <w:pStyle w:val="Heading2"/>
        <w:spacing w:after="120" w:before="240"/>
      </w:pPr>
      <w:r>
        <w:rPr>
          <w:rFonts w:ascii="Times New Roman" w:cs="Times New Roman" w:eastAsia="Times New Roman" w:hAnsi="Times New Roman"/>
          <w:b/>
          <w:bCs/>
          <w:sz w:val="26"/>
          <w:szCs w:val="26"/>
        </w:rPr>
        <w:t xml:space="preserve">3.2  Compliance</w:t>
      </w:r>
    </w:p>
    <w:p>
      <w:pPr>
        <w:spacing w:after="120" w:line="276"/>
        <w:jc w:val="both"/>
      </w:pPr>
      <w:r>
        <w:rPr>
          <w:rFonts w:ascii="Times New Roman" w:cs="Times New Roman" w:eastAsia="Times New Roman" w:hAnsi="Times New Roman"/>
          <w:sz w:val="24"/>
          <w:szCs w:val="24"/>
        </w:rPr>
        <w:t xml:space="preserve">Kepatuhan sistem terhadap regulasi mencakup dua dimensi, yaitu kepatuhan terhadap ketentuan penggunaan sumber data dan kepatuhan terhadap regulasi perlindungan data nasional. Pada dimensi pertama, data USGS berada dalam domain publik sebagai produk lembaga pemerintah Amerika Serikat, tetapi tetap mensyaratkan pencantuman atribusi sumber. Data BMKG merupakan data publik yang disediakan untuk kepentingan umum dengan ketentuan penggunaan yang menekankan larangan mengklaim diri sebagai sumber primer.</w:t>
      </w:r>
    </w:p>
    <w:p>
      <w:pPr>
        <w:spacing w:after="120" w:line="276"/>
        <w:jc w:val="both"/>
      </w:pPr>
      <w:r>
        <w:rPr>
          <w:rFonts w:ascii="Times New Roman" w:cs="Times New Roman" w:eastAsia="Times New Roman" w:hAnsi="Times New Roman"/>
          <w:sz w:val="24"/>
          <w:szCs w:val="24"/>
        </w:rPr>
        <w:t xml:space="preserve">Sistem menerapkan pencatatan asal data untuk setiap rekaman melalui kolom source yang menandai apakah suatu rekaman berasal dari USGS atau BMKG. Pencatatan tersebut memungkinkan atribusi dilakukan secara tepat pada setiap hasil analisis. Selain itu, kolom sig_estimated menandai rekaman yang nilai signifikansinya merupakan hasil estimasi, bukan nilai asli dari sumber, sehingga pengguna hasil analisis dapat membedakan nilai terukur dan nilai turunan.</w:t>
      </w:r>
    </w:p>
    <w:p>
      <w:pPr>
        <w:spacing w:after="120" w:line="276"/>
        <w:jc w:val="both"/>
      </w:pPr>
      <w:r>
        <w:rPr>
          <w:rFonts w:ascii="Times New Roman" w:cs="Times New Roman" w:eastAsia="Times New Roman" w:hAnsi="Times New Roman"/>
          <w:sz w:val="24"/>
          <w:szCs w:val="24"/>
        </w:rPr>
        <w:t xml:space="preserve">Pada dimensi kedua, Undang-Undang Nomor 27 Tahun 2022 tentang Pelindungan Data Pribadi mengatur pemrosesan data yang dapat mengidentifikasi orang perseorangan. Dataset kegempaan yang digunakan pada penelitian ini tidak memuat data pribadi karena hanya berisi atribut fisik kejadian geologi. Meskipun demikian, pengembangan sistem ke tahap berikutnya yang memadukan data korban dan pengungsi dari BNPB akan memasukkan sistem ini ke dalam cakupan regulasi tersebut sehingga kesiapan mekanisme perlindungan privasi perlu dibangun sejak tahap perancangan.</w:t>
      </w:r>
    </w:p>
    <w:p>
      <w:pPr>
        <w:pStyle w:val="Heading2"/>
        <w:spacing w:after="120" w:before="240"/>
      </w:pPr>
      <w:r>
        <w:rPr>
          <w:rFonts w:ascii="Times New Roman" w:cs="Times New Roman" w:eastAsia="Times New Roman" w:hAnsi="Times New Roman"/>
          <w:b/>
          <w:bCs/>
          <w:sz w:val="26"/>
          <w:szCs w:val="26"/>
        </w:rPr>
        <w:t xml:space="preserve">3.3  Data Privacy</w:t>
      </w:r>
    </w:p>
    <w:p>
      <w:pPr>
        <w:spacing w:after="120" w:line="276"/>
        <w:jc w:val="both"/>
      </w:pPr>
      <w:r>
        <w:rPr>
          <w:rFonts w:ascii="Times New Roman" w:cs="Times New Roman" w:eastAsia="Times New Roman" w:hAnsi="Times New Roman"/>
          <w:sz w:val="24"/>
          <w:szCs w:val="24"/>
        </w:rPr>
        <w:t xml:space="preserve">Meskipun dataset saat ini tidak memuat data pribadi, rancangan sistem menerapkan prinsip privasi sejak perancangan sebagai persiapan bagi pemaduan data dampak bencana pada tahap berikutnya. Prinsip minimisasi data diterapkan dengan hanya menyimpan atribut yang memiliki keterkaitan analitik. Atribut seperti alamat lengkap, nomor induk kependudukan, atau nomor kontak tidak akan disimpan meskipun tersedia pada sumber data.</w:t>
      </w:r>
    </w:p>
    <w:p>
      <w:pPr>
        <w:spacing w:after="120" w:line="276"/>
        <w:jc w:val="both"/>
      </w:pPr>
      <w:r>
        <w:rPr>
          <w:rFonts w:ascii="Times New Roman" w:cs="Times New Roman" w:eastAsia="Times New Roman" w:hAnsi="Times New Roman"/>
          <w:sz w:val="24"/>
          <w:szCs w:val="24"/>
        </w:rPr>
        <w:t xml:space="preserve">Untuk penyajian kepada publik, agregasi diterapkan pada tingkat wilayah administratif kabupaten. Pendekatan grid satu derajat yang dipakai pada penelitian ini menghasilkan zona dengan luas sekitar 111 kilometer persegi sehingga berada pada tingkat kerincian yang cukup kasar dan tidak memungkinkan identifikasi lokasi individu. Apabila kelak sistem menyajikan data dampak, penyajian akan dibatasi pada jumlah agregat tanpa perincian identitas.</w:t>
      </w:r>
    </w:p>
    <w:p>
      <w:pPr>
        <w:spacing w:after="120" w:line="276"/>
        <w:jc w:val="both"/>
      </w:pPr>
      <w:r>
        <w:rPr>
          <w:rFonts w:ascii="Times New Roman" w:cs="Times New Roman" w:eastAsia="Times New Roman" w:hAnsi="Times New Roman"/>
          <w:sz w:val="24"/>
          <w:szCs w:val="24"/>
        </w:rPr>
        <w:t xml:space="preserve">Pemisahan tingkat akses antara data terperinci untuk lembaga berwenang dan data agregat untuk publik menjadi mekanisme utama perlindungan privasi. Data terperinci yang memuat informasi dampak pada tingkat individu hanya dapat diakses lembaga yang memiliki kewenangan penanganan langsung, disertai pencatatan audit atas setiap akses.</w:t>
      </w:r>
    </w:p>
    <w:p>
      <w:pPr>
        <w:pStyle w:val="Heading2"/>
        <w:spacing w:after="120" w:before="240"/>
      </w:pPr>
      <w:r>
        <w:rPr>
          <w:rFonts w:ascii="Times New Roman" w:cs="Times New Roman" w:eastAsia="Times New Roman" w:hAnsi="Times New Roman"/>
          <w:b/>
          <w:bCs/>
          <w:sz w:val="26"/>
          <w:szCs w:val="26"/>
        </w:rPr>
        <w:t xml:space="preserve">3.4  Data Quality</w:t>
      </w:r>
    </w:p>
    <w:p>
      <w:pPr>
        <w:spacing w:after="120" w:line="276"/>
        <w:jc w:val="both"/>
      </w:pPr>
      <w:r>
        <w:rPr>
          <w:rFonts w:ascii="Times New Roman" w:cs="Times New Roman" w:eastAsia="Times New Roman" w:hAnsi="Times New Roman"/>
          <w:sz w:val="24"/>
          <w:szCs w:val="24"/>
        </w:rPr>
        <w:t xml:space="preserve">Mutu data merupakan aspek yang paling berdampak langsung pada keabsahan hasil analisis. Kesalahan pada nilai koordinat akan menyebabkan kejadian terpetakan pada zona yang keliru, sedangkan penggandaan kejadian akan menyebabkan estimasi frekuensi menjadi berlebihan. Tabel 6 memerinci aturan mutu data yang diterapkan beserta implementasi konkretnya dalam pipeline.</w:t>
      </w:r>
    </w:p>
    <w:p>
      <w:pPr>
        <w:spacing w:after="160" w:before="80"/>
        <w:jc w:val="center"/>
      </w:pPr>
      <w:r>
        <w:rPr>
          <w:rFonts w:ascii="Times New Roman" w:cs="Times New Roman" w:eastAsia="Times New Roman" w:hAnsi="Times New Roman"/>
          <w:sz w:val="20"/>
          <w:szCs w:val="20"/>
        </w:rPr>
        <w:t xml:space="preserve">Tabel 6. Aturan Data Quality dan Implementasinya</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0"/>
      </w:tblGrid>
      <w:tr>
        <w:trPr>
          <w:tblHeader/>
        </w:trPr>
        <w:tc>
          <w:tcPr>
            <w:tcW w:type="dxa" w:w="20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9"/>
                <w:szCs w:val="19"/>
              </w:rPr>
              <w:t xml:space="preserve">Aturan</w:t>
            </w:r>
          </w:p>
        </w:tc>
        <w:tc>
          <w:tcPr>
            <w:tcW w:type="dxa" w:w="35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9"/>
                <w:szCs w:val="19"/>
              </w:rPr>
              <w:t xml:space="preserve">Implementasi</w:t>
            </w:r>
          </w:p>
        </w:tc>
        <w:tc>
          <w:tcPr>
            <w:tcW w:type="dxa" w:w="352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9"/>
                <w:szCs w:val="19"/>
              </w:rPr>
              <w:t xml:space="preserve">Hasil Verifikasi</w:t>
            </w:r>
          </w:p>
        </w:tc>
      </w:tr>
      <w:tr>
        <w:tc>
          <w:tcPr>
            <w:tcW w:type="dxa" w:w="2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Validasi rentang koordinat</w:t>
            </w:r>
          </w:p>
        </w:tc>
        <w:tc>
          <w:tcPr>
            <w:tcW w:type="dxa" w:w="3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Penyaringan kotak pembatas lintang –11 sampai 6 derajat dan bujur 95 sampai 141 derajat</w:t>
            </w:r>
          </w:p>
        </w:tc>
        <w:tc>
          <w:tcPr>
            <w:tcW w:type="dxa" w:w="35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4.623 rekaman di luar wilayah Indonesia berhasil disaring</w:t>
            </w:r>
          </w:p>
        </w:tc>
      </w:tr>
      <w:tr>
        <w:tc>
          <w:tcPr>
            <w:tcW w:type="dxa" w:w="2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Validasi wilayah administratif</w:t>
            </w:r>
          </w:p>
        </w:tc>
        <w:tc>
          <w:tcPr>
            <w:tcW w:type="dxa" w:w="3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Pemeriksaan untai teks place terhadap daftar negara tetangga</w:t>
            </w:r>
          </w:p>
        </w:tc>
        <w:tc>
          <w:tcPr>
            <w:tcW w:type="dxa" w:w="35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Kejadian di Filipina, Timor Leste, Malaysia, Papua Nugini, dan Australia dikecualikan</w:t>
            </w:r>
          </w:p>
        </w:tc>
      </w:tr>
      <w:tr>
        <w:tc>
          <w:tcPr>
            <w:tcW w:type="dxa" w:w="2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Deteksi penggandaan</w:t>
            </w:r>
          </w:p>
        </w:tc>
        <w:tc>
          <w:tcPr>
            <w:tcW w:type="dxa" w:w="3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Pengelompokan berdasarkan koordinat yang dibulatkan dua desimal dan jendela waktu 60 detik</w:t>
            </w:r>
          </w:p>
        </w:tc>
        <w:tc>
          <w:tcPr>
            <w:tcW w:type="dxa" w:w="35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Tidak ditemukan penggandaan sehingga katalog USGS terbukti sudah bersih di sisi sumber</w:t>
            </w:r>
          </w:p>
        </w:tc>
      </w:tr>
      <w:tr>
        <w:tc>
          <w:tcPr>
            <w:tcW w:type="dxa" w:w="2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Validasi silang antarsumber</w:t>
            </w:r>
          </w:p>
        </w:tc>
        <w:tc>
          <w:tcPr>
            <w:tcW w:type="dxa" w:w="3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Pencocokan kejadian USGS dan BMKG dalam radius 0,1 derajat dan jendela 5 menit</w:t>
            </w:r>
          </w:p>
        </w:tc>
        <w:tc>
          <w:tcPr>
            <w:tcW w:type="dxa" w:w="35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Dua kejadian terkonfirmasi oleh kedua sumber</w:t>
            </w:r>
          </w:p>
        </w:tc>
      </w:tr>
      <w:tr>
        <w:tc>
          <w:tcPr>
            <w:tcW w:type="dxa" w:w="2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Standardisasi zona waktu</w:t>
            </w:r>
          </w:p>
        </w:tc>
        <w:tc>
          <w:tcPr>
            <w:tcW w:type="dxa" w:w="3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Konversi seluruh stempel waktu ke UTC dengan kolom turunan WIB</w:t>
            </w:r>
          </w:p>
        </w:tc>
        <w:tc>
          <w:tcPr>
            <w:tcW w:type="dxa" w:w="35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Seluruh 19.266 rekaman memiliki stempel waktu terstandar</w:t>
            </w:r>
          </w:p>
        </w:tc>
      </w:tr>
      <w:tr>
        <w:tc>
          <w:tcPr>
            <w:tcW w:type="dxa" w:w="2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Penanganan nilai hilang</w:t>
            </w:r>
          </w:p>
        </w:tc>
        <w:tc>
          <w:tcPr>
            <w:tcW w:type="dxa" w:w="3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Penandaan eksplisit melalui kolom indikator, bukan penghapusan baris</w:t>
            </w:r>
          </w:p>
        </w:tc>
        <w:tc>
          <w:tcPr>
            <w:tcW w:type="dxa" w:w="35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Nilai mmi 96,64 persen, cdi 85,88 persen, dan felt 85,88 persen ditandai sebagai tidak dilaporkan</w:t>
            </w:r>
          </w:p>
        </w:tc>
      </w:tr>
      <w:tr>
        <w:tc>
          <w:tcPr>
            <w:tcW w:type="dxa" w:w="2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Konsistensi tipe data</w:t>
            </w:r>
          </w:p>
        </w:tc>
        <w:tc>
          <w:tcPr>
            <w:tcW w:type="dxa" w:w="3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Konversi paksa ke tipe numerik sebelum imputasi</w:t>
            </w:r>
          </w:p>
        </w:tc>
        <w:tc>
          <w:tcPr>
            <w:tcW w:type="dxa" w:w="35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Kolom gap, dmin, rms, dan nst dipastikan bertipe float64</w:t>
            </w:r>
          </w:p>
        </w:tc>
      </w:tr>
      <w:tr>
        <w:tc>
          <w:tcPr>
            <w:tcW w:type="dxa" w:w="2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Pencatatan asal data</w:t>
            </w:r>
          </w:p>
        </w:tc>
        <w:tc>
          <w:tcPr>
            <w:tcW w:type="dxa" w:w="3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Kolom source dan sig_estimated pada setiap rekaman</w:t>
            </w:r>
          </w:p>
        </w:tc>
        <w:tc>
          <w:tcPr>
            <w:tcW w:type="dxa" w:w="35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Setiap nilai dapat ditelusuri ke sumber dan metode perolehannya</w:t>
            </w:r>
          </w:p>
        </w:tc>
      </w:tr>
    </w:tbl>
    <w:p>
      <w:pPr>
        <w:spacing w:after="120" w:line="276"/>
        <w:jc w:val="both"/>
      </w:pPr>
      <w:r>
        <w:rPr>
          <w:rFonts w:ascii="Times New Roman" w:cs="Times New Roman" w:eastAsia="Times New Roman" w:hAnsi="Times New Roman"/>
          <w:sz w:val="24"/>
          <w:szCs w:val="24"/>
        </w:rPr>
        <w:t xml:space="preserve">Aturan penanganan nilai hilang memerlukan penjelasan lebih lanjut karena keputusannya berlawanan dengan praktik yang lazim. Kolom mmi, cdi, dan felt memiliki tingkat ketidaklengkapan yang sangat tinggi, berturut-turut 96,64 persen, 85,88 persen, dan 85,88 persen. Pendekatan konvensional akan menghapus kolom dengan tingkat ketidaklengkapan setinggi itu. Namun, pemeriksaan lebih lanjut menunjukkan bahwa ketidaklengkapan tersebut bukan kesalahan pencatatan, melainkan bersifat informatif. Ketiga atribut hanya terisi apabila terdapat laporan masyarakat yang merasakan guncangan. Ketiadaan nilai justru menandakan bahwa kejadian tidak dirasakan atau tidak dilaporkan, dan hal itu merupakan informasi yang bermakna.</w:t>
      </w:r>
    </w:p>
    <w:p>
      <w:pPr>
        <w:spacing w:after="120" w:line="276"/>
        <w:jc w:val="both"/>
      </w:pPr>
      <w:r>
        <w:rPr>
          <w:rFonts w:ascii="Times New Roman" w:cs="Times New Roman" w:eastAsia="Times New Roman" w:hAnsi="Times New Roman"/>
          <w:sz w:val="24"/>
          <w:szCs w:val="24"/>
        </w:rPr>
        <w:t xml:space="preserve">Berdasarkan pertimbangan tersebut, nilai hilang tidak dihapus, melainkan ditandai melalui kolom indikator terpisah yang bernilai satu apabila nilai asli tidak tersedia. Nilai numeriknya sendiri diisi dengan penanda negatif satu yang berada di luar rentang nilai sahih sehingga model dapat membedakan nilai terukur dan nilai yang tidak tersedia.</w:t>
      </w:r>
    </w:p>
    <w:p>
      <w:pPr>
        <w:spacing w:after="120" w:line="276"/>
        <w:jc w:val="both"/>
      </w:pPr>
      <w:r>
        <w:rPr>
          <w:rFonts w:ascii="Times New Roman" w:cs="Times New Roman" w:eastAsia="Times New Roman" w:hAnsi="Times New Roman"/>
          <w:sz w:val="24"/>
          <w:szCs w:val="24"/>
        </w:rPr>
        <w:t xml:space="preserve">Temuan yang menarik dari proses deteksi penggandaan adalah tidak ditemukannya satu pun penggandaan dalam dataset. Hal tersebut menunjukkan bahwa katalog USGS telah melalui proses deduplikasi di sisi penyedia sehingga aturan deduplikasi yang diterapkan berfungsi sebagai pengaman tambahan, bukan mekanisme pembersihan utama. Aturan tersebut tetap dipertahankan dalam pipeline karena akan menjadi relevan apabila kelak ditambahkan sumber data ketiga yang berpotensi mencatat kejadian yang sama.</w:t>
      </w:r>
    </w:p>
    <w:p>
      <w:r>
        <w:br w:type="page"/>
      </w:r>
    </w:p>
    <w:p>
      <w:pPr>
        <w:pStyle w:val="Heading1"/>
        <w:spacing w:after="240" w:before="240"/>
        <w:jc w:val="center"/>
      </w:pPr>
      <w:r>
        <w:rPr>
          <w:rFonts w:ascii="Times New Roman" w:cs="Times New Roman" w:eastAsia="Times New Roman" w:hAnsi="Times New Roman"/>
          <w:b/>
          <w:bCs/>
          <w:sz w:val="28"/>
          <w:szCs w:val="28"/>
        </w:rPr>
        <w:t xml:space="preserve">BAB IV DATA</w:t>
      </w:r>
    </w:p>
    <w:p>
      <w:pPr>
        <w:pStyle w:val="Heading2"/>
        <w:spacing w:after="120" w:before="240"/>
      </w:pPr>
      <w:r>
        <w:rPr>
          <w:rFonts w:ascii="Times New Roman" w:cs="Times New Roman" w:eastAsia="Times New Roman" w:hAnsi="Times New Roman"/>
          <w:b/>
          <w:bCs/>
          <w:sz w:val="26"/>
          <w:szCs w:val="26"/>
        </w:rPr>
        <w:t xml:space="preserve">4.1  Deskripsi Data</w:t>
      </w:r>
    </w:p>
    <w:p>
      <w:pPr>
        <w:spacing w:after="120" w:line="276"/>
        <w:jc w:val="both"/>
      </w:pPr>
      <w:r>
        <w:rPr>
          <w:rFonts w:ascii="Times New Roman" w:cs="Times New Roman" w:eastAsia="Times New Roman" w:hAnsi="Times New Roman"/>
          <w:sz w:val="24"/>
          <w:szCs w:val="24"/>
        </w:rPr>
        <w:t xml:space="preserve">Dataset yang dipakai pada penelitian ini merupakan hasil pemaduan katalog gempa historis USGS dan data gempa terkini BMKG. Proses pengumpulan menghasilkan 23.889 rekaman mentah yang setelah melalui rangkaian operasi pembersihan menyisakan 19.266 rekaman sahih untuk wilayah Indonesia. Tabel 7 menyajikan statistik deskriptif dataset akhir.</w:t>
      </w:r>
    </w:p>
    <w:p>
      <w:pPr>
        <w:spacing w:after="160" w:before="80"/>
        <w:jc w:val="center"/>
      </w:pPr>
      <w:r>
        <w:rPr>
          <w:rFonts w:ascii="Times New Roman" w:cs="Times New Roman" w:eastAsia="Times New Roman" w:hAnsi="Times New Roman"/>
          <w:sz w:val="20"/>
          <w:szCs w:val="20"/>
        </w:rPr>
        <w:t xml:space="preserve">Tabel 7. Statistik Deskriptif Dataset Hasil Ingestion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2920"/>
      </w:tblGrid>
      <w:tr>
        <w:trPr>
          <w:tblHeader/>
        </w:trPr>
        <w:tc>
          <w:tcPr>
            <w:tcW w:type="dxa" w:w="32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9"/>
                <w:szCs w:val="19"/>
              </w:rPr>
              <w:t xml:space="preserve">Atribut</w:t>
            </w:r>
          </w:p>
        </w:tc>
        <w:tc>
          <w:tcPr>
            <w:tcW w:type="dxa" w:w="29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9"/>
                <w:szCs w:val="19"/>
              </w:rPr>
              <w:t xml:space="preserve">Nilai</w:t>
            </w:r>
          </w:p>
        </w:tc>
        <w:tc>
          <w:tcPr>
            <w:tcW w:type="dxa" w:w="292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9"/>
                <w:szCs w:val="19"/>
              </w:rPr>
              <w:t xml:space="preserve">Keterangan</w:t>
            </w:r>
          </w:p>
        </w:tc>
      </w:tr>
      <w:tr>
        <w:tc>
          <w:tcPr>
            <w:tcW w:type="dxa" w:w="3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Jumlah rekaman akhir</w:t>
            </w:r>
          </w:p>
        </w:tc>
        <w:tc>
          <w:tcPr>
            <w:tcW w:type="dxa" w:w="2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19.266 baris</w:t>
            </w:r>
          </w:p>
        </w:tc>
        <w:tc>
          <w:tcPr>
            <w:tcW w:type="dxa" w:w="29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Setelah penyaringan wilayah dari 23.889 rekaman mentah</w:t>
            </w:r>
          </w:p>
        </w:tc>
      </w:tr>
      <w:tr>
        <w:tc>
          <w:tcPr>
            <w:tcW w:type="dxa" w:w="3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Jumlah kolom</w:t>
            </w:r>
          </w:p>
        </w:tc>
        <w:tc>
          <w:tcPr>
            <w:tcW w:type="dxa" w:w="2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31 kolom</w:t>
            </w:r>
          </w:p>
        </w:tc>
        <w:tc>
          <w:tcPr>
            <w:tcW w:type="dxa" w:w="29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Termasuk kolom turunan hasil transformasi dan penandaan</w:t>
            </w:r>
          </w:p>
        </w:tc>
      </w:tr>
      <w:tr>
        <w:tc>
          <w:tcPr>
            <w:tcW w:type="dxa" w:w="3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Rentang waktu</w:t>
            </w:r>
          </w:p>
        </w:tc>
        <w:tc>
          <w:tcPr>
            <w:tcW w:type="dxa" w:w="2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1 Januari 2015 – 2 Agustus 2026</w:t>
            </w:r>
          </w:p>
        </w:tc>
        <w:tc>
          <w:tcPr>
            <w:tcW w:type="dxa" w:w="29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Cakupan sebelas tahun tujuh bulan</w:t>
            </w:r>
          </w:p>
        </w:tc>
      </w:tr>
      <w:tr>
        <w:tc>
          <w:tcPr>
            <w:tcW w:type="dxa" w:w="3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Rentang magnitudo</w:t>
            </w:r>
          </w:p>
        </w:tc>
        <w:tc>
          <w:tcPr>
            <w:tcW w:type="dxa" w:w="2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4,0 – 7,6</w:t>
            </w:r>
          </w:p>
        </w:tc>
        <w:tc>
          <w:tcPr>
            <w:tcW w:type="dxa" w:w="29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Rata-rata 4,49 dengan ambang bawah sesuai kriteria pengambilan</w:t>
            </w:r>
          </w:p>
        </w:tc>
      </w:tr>
      <w:tr>
        <w:tc>
          <w:tcPr>
            <w:tcW w:type="dxa" w:w="3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Rentang kedalaman</w:t>
            </w:r>
          </w:p>
        </w:tc>
        <w:tc>
          <w:tcPr>
            <w:tcW w:type="dxa" w:w="2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3,3 – 652,5 km</w:t>
            </w:r>
          </w:p>
        </w:tc>
        <w:tc>
          <w:tcPr>
            <w:tcW w:type="dxa" w:w="29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Mencakup gempa dangkal hingga gempa dalam pada zona Benioff</w:t>
            </w:r>
          </w:p>
        </w:tc>
      </w:tr>
      <w:tr>
        <w:tc>
          <w:tcPr>
            <w:tcW w:type="dxa" w:w="3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Jumlah zona seismik</w:t>
            </w:r>
          </w:p>
        </w:tc>
        <w:tc>
          <w:tcPr>
            <w:tcW w:type="dxa" w:w="2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430 zona</w:t>
            </w:r>
          </w:p>
        </w:tc>
        <w:tc>
          <w:tcPr>
            <w:tcW w:type="dxa" w:w="29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Berdasarkan pembagian grid satu derajat</w:t>
            </w:r>
          </w:p>
        </w:tc>
      </w:tr>
      <w:tr>
        <w:tc>
          <w:tcPr>
            <w:tcW w:type="dxa" w:w="3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Komposisi sumber</w:t>
            </w:r>
          </w:p>
        </w:tc>
        <w:tc>
          <w:tcPr>
            <w:tcW w:type="dxa" w:w="2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USGS 19.251, BMKG 15</w:t>
            </w:r>
          </w:p>
        </w:tc>
        <w:tc>
          <w:tcPr>
            <w:tcW w:type="dxa" w:w="29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USGS mendominasi karena cakupan historisnya lengkap</w:t>
            </w:r>
          </w:p>
        </w:tc>
      </w:tr>
      <w:tr>
        <w:tc>
          <w:tcPr>
            <w:tcW w:type="dxa" w:w="3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Kejadian berpotensi tsunami</w:t>
            </w:r>
          </w:p>
        </w:tc>
        <w:tc>
          <w:tcPr>
            <w:tcW w:type="dxa" w:w="2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17 kejadian</w:t>
            </w:r>
          </w:p>
        </w:tc>
        <w:tc>
          <w:tcPr>
            <w:tcW w:type="dxa" w:w="29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Setara 0,09 persen dari total kejadian</w:t>
            </w:r>
          </w:p>
        </w:tc>
      </w:tr>
      <w:tr>
        <w:tc>
          <w:tcPr>
            <w:tcW w:type="dxa" w:w="3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Ukuran berkas Parquet</w:t>
            </w:r>
          </w:p>
        </w:tc>
        <w:tc>
          <w:tcPr>
            <w:tcW w:type="dxa" w:w="2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1,3 MB</w:t>
            </w:r>
          </w:p>
        </w:tc>
        <w:tc>
          <w:tcPr>
            <w:tcW w:type="dxa" w:w="29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Hasil kompresi kolumnar dari data mentah berukuran puluhan megabita</w:t>
            </w:r>
          </w:p>
        </w:tc>
      </w:tr>
    </w:tbl>
    <w:p>
      <w:pPr>
        <w:spacing w:after="120" w:line="276"/>
        <w:jc w:val="both"/>
      </w:pPr>
      <w:r>
        <w:rPr>
          <w:rFonts w:ascii="Times New Roman" w:cs="Times New Roman" w:eastAsia="Times New Roman" w:hAnsi="Times New Roman"/>
          <w:sz w:val="24"/>
          <w:szCs w:val="24"/>
        </w:rPr>
        <w:t xml:space="preserve">Sebaran kejadian per tahun menunjukkan pola yang relatif mantap pada kisaran 1.132 hingga 1.995 kejadian per tahun. Tahun 2019 mencatat jumlah tertinggi dengan 1.995 kejadian, sedangkan tahun 2026 mencatat jumlah terendah dengan 1.132 kejadian. Angka tahun 2026 belum mencerminkan satu tahun penuh karena pengambilan data dilakukan pada awal Agustus 2026. Kemantapan sebaran antartahun tersebut menunjukkan bahwa dataset tidak mengalami bias pengambilan yang berarti pada periode tertentu.</w:t>
      </w:r>
    </w:p>
    <w:p>
      <w:pPr>
        <w:spacing w:after="40" w:before="120"/>
        <w:jc w:val="center"/>
      </w:pPr>
      <w:r>
        <w:drawing>
          <wp:inline distT="0" distB="0" distL="0" distR="0">
            <wp:extent cx="5715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524000"/>
                    </a:xfrm>
                    <a:prstGeom prst="rect">
                      <a:avLst/>
                    </a:prstGeom>
                  </pic:spPr>
                </pic:pic>
              </a:graphicData>
            </a:graphic>
          </wp:inline>
        </w:drawing>
      </w:r>
    </w:p>
    <w:p>
      <w:pPr>
        <w:spacing w:after="160" w:before="40"/>
        <w:jc w:val="center"/>
      </w:pPr>
      <w:r>
        <w:rPr>
          <w:rFonts w:ascii="Times New Roman" w:cs="Times New Roman" w:eastAsia="Times New Roman" w:hAnsi="Times New Roman"/>
          <w:sz w:val="20"/>
          <w:szCs w:val="20"/>
        </w:rPr>
        <w:t xml:space="preserve">Gambar 3. Distribusi Magnitude, Kedalaman, dan Jumlah Kejadian per Tahun</w:t>
      </w:r>
    </w:p>
    <w:p>
      <w:pPr>
        <w:spacing w:after="120" w:line="276"/>
        <w:jc w:val="both"/>
      </w:pPr>
      <w:r>
        <w:rPr>
          <w:rFonts w:ascii="Times New Roman" w:cs="Times New Roman" w:eastAsia="Times New Roman" w:hAnsi="Times New Roman"/>
          <w:sz w:val="24"/>
          <w:szCs w:val="24"/>
        </w:rPr>
        <w:t xml:space="preserve">Gambar 3 menunjukkan tiga ciri penting dataset. Sebaran magnitudo memperlihatkan pola menurun tajam yang selaras dengan hukum Gutenberg-Richter, yaitu jumlah kejadian berkurang secara eksponensial seiring meningkatnya magnitudo. Sebaran kedalaman menunjukkan pemusatan pada kedalaman dangkal dengan ekor panjang hingga 652 kilometer, yang mencerminkan keberadaan zona subduksi di wilayah Indonesia. Sebaran per tahun memperlihatkan kemantapan yang telah dibahas sebelumnya.</w:t>
      </w:r>
    </w:p>
    <w:p>
      <w:pPr>
        <w:spacing w:after="120" w:line="276"/>
        <w:jc w:val="both"/>
      </w:pPr>
      <w:r>
        <w:rPr>
          <w:rFonts w:ascii="Times New Roman" w:cs="Times New Roman" w:eastAsia="Times New Roman" w:hAnsi="Times New Roman"/>
          <w:sz w:val="24"/>
          <w:szCs w:val="24"/>
        </w:rPr>
        <w:t xml:space="preserve">Kombinasi kelas kedalaman dan pita magnitudo memberikan gambaran yang lebih rinci mengenai komposisi dataset. Kelompok terbesar adalah gempa dangkal dengan magnitudo 4,0 hingga 4,5 sebanyak 7.906 kejadian, disusul gempa dangkal dengan magnitudo 4,5 hingga 5,5 sebanyak 4.568 kejadian, dan gempa menengah dengan magnitudo 4,0 hingga 4,5 sebanyak 4.434 kejadian. Dominasi gempa dangkal tersebut berimplikasi praktis karena gempa dangkal umumnya menimbulkan guncangan permukaan yang lebih kuat daripada gempa dalam dengan magnitudo setara.</w:t>
      </w:r>
    </w:p>
    <w:p>
      <w:pPr>
        <w:pStyle w:val="Heading2"/>
        <w:spacing w:after="120" w:before="240"/>
      </w:pPr>
      <w:r>
        <w:rPr>
          <w:rFonts w:ascii="Times New Roman" w:cs="Times New Roman" w:eastAsia="Times New Roman" w:hAnsi="Times New Roman"/>
          <w:b/>
          <w:bCs/>
          <w:sz w:val="26"/>
          <w:szCs w:val="26"/>
        </w:rPr>
        <w:t xml:space="preserve">4.2  Model Data dan Operasi Data</w:t>
      </w:r>
    </w:p>
    <w:p>
      <w:pPr>
        <w:spacing w:after="120" w:line="276"/>
        <w:jc w:val="both"/>
      </w:pPr>
      <w:r>
        <w:rPr>
          <w:rFonts w:ascii="Times New Roman" w:cs="Times New Roman" w:eastAsia="Times New Roman" w:hAnsi="Times New Roman"/>
          <w:sz w:val="24"/>
          <w:szCs w:val="24"/>
        </w:rPr>
        <w:t xml:space="preserve">Ciri data kegempaan bersifat multidimensi, meliputi dimensi temporal berupa waktu kejadian, dimensi spasial berupa koordinat geografis, dimensi atributif berupa besaran fisik kejadian, serta dimensi relasional berupa keterkaitan antarzona. Tidak ada satu model data tunggal yang optimal untuk seluruh dimensi tersebut sehingga penelitian ini menerapkan model data hibrida: setiap dimensi ditangani dengan model dan operasi yang sesuai.</w:t>
      </w:r>
    </w:p>
    <w:p>
      <w:pPr>
        <w:pStyle w:val="Heading3"/>
        <w:spacing w:after="100" w:before="180"/>
      </w:pPr>
      <w:r>
        <w:rPr>
          <w:rFonts w:ascii="Times New Roman" w:cs="Times New Roman" w:eastAsia="Times New Roman" w:hAnsi="Times New Roman"/>
          <w:b/>
          <w:bCs/>
          <w:sz w:val="24"/>
          <w:szCs w:val="24"/>
        </w:rPr>
        <w:t xml:space="preserve">Model Data yang Diterapkan</w:t>
      </w:r>
    </w:p>
    <w:p>
      <w:pPr>
        <w:spacing w:after="120" w:line="276"/>
        <w:jc w:val="both"/>
      </w:pPr>
      <w:r>
        <w:rPr>
          <w:rFonts w:ascii="Times New Roman" w:cs="Times New Roman" w:eastAsia="Times New Roman" w:hAnsi="Times New Roman"/>
          <w:sz w:val="24"/>
          <w:szCs w:val="24"/>
        </w:rPr>
        <w:t xml:space="preserve">Model relasional diterapkan pada representasi utama dataset sebagai tabel dengan skema tetap. Setiap baris mewakili satu kejadian gempa dengan kunci utama berupa event_id. Model tersebut dipilih karena setelah pendataran struktur data menjadi sepenuhnya teratur dan operasi yang dominan berupa penyaringan, proyeksi, serta agregasi yang merupakan kekuatan model relasional.</w:t>
      </w:r>
    </w:p>
    <w:p>
      <w:pPr>
        <w:spacing w:after="120" w:line="276"/>
        <w:jc w:val="both"/>
      </w:pPr>
      <w:r>
        <w:rPr>
          <w:rFonts w:ascii="Times New Roman" w:cs="Times New Roman" w:eastAsia="Times New Roman" w:hAnsi="Times New Roman"/>
          <w:sz w:val="24"/>
          <w:szCs w:val="24"/>
        </w:rPr>
        <w:t xml:space="preserve">Model deret waktu diterapkan pada perhitungan fitur temporal dan pembentukan label. Kejadian diurutkan berdasarkan stempel waktu, lalu dihitung agregasi bergulir dalam jendela tujuh hari dan tiga puluh hari ke belakang untuk setiap zona, serta agregasi pada jendela sembilan puluh hari ke depan untuk pembentukan label. Model ini tidak diwujudkan sebagai basis data deret waktu tersendiri, melainkan diimplementasikan melalui operasi jendela bergulir di atas struktur tabular.</w:t>
      </w:r>
    </w:p>
    <w:p>
      <w:pPr>
        <w:spacing w:after="120" w:line="276"/>
        <w:jc w:val="both"/>
      </w:pPr>
      <w:r>
        <w:rPr>
          <w:rFonts w:ascii="Times New Roman" w:cs="Times New Roman" w:eastAsia="Times New Roman" w:hAnsi="Times New Roman"/>
          <w:sz w:val="24"/>
          <w:szCs w:val="24"/>
        </w:rPr>
        <w:t xml:space="preserve">Model geospasial diterapkan melalui diskretisasi koordinat menjadi zona grid satu derajat. Pendekatan tersebut merupakan penyederhanaan dari model geospasial penuh dan dipilih karena kebutuhan analisis pada tahap ini adalah pengelompokan wilayah, bukan perhitungan geometri yang rumit. Konsekuensinya, zona di dekat khatulistiwa memiliki luas yang sedikit berbeda dibandingkan dengan zona di lintang tinggi, tetapi perbedaan tersebut tidak berarti bagi rentang lintang Indonesia yang sempit.</w:t>
      </w:r>
    </w:p>
    <w:p>
      <w:pPr>
        <w:spacing w:after="120" w:line="276"/>
        <w:jc w:val="both"/>
      </w:pPr>
      <w:r>
        <w:rPr>
          <w:rFonts w:ascii="Times New Roman" w:cs="Times New Roman" w:eastAsia="Times New Roman" w:hAnsi="Times New Roman"/>
          <w:sz w:val="24"/>
          <w:szCs w:val="24"/>
        </w:rPr>
        <w:t xml:space="preserve">Model graf diterapkan pada analisis keterkaitan antarzona sebagaimana dibahas secara rinci pada Bab VI. Model ini menangani dimensi relasional yang tidak dapat direpresentasikan secara efisien dalam model tabular, yaitu keterhubungan spasial-temporal antara satu zona dan zona lainnya.</w:t>
      </w:r>
    </w:p>
    <w:p>
      <w:pPr>
        <w:pStyle w:val="Heading3"/>
        <w:spacing w:after="100" w:before="180"/>
      </w:pPr>
      <w:r>
        <w:rPr>
          <w:rFonts w:ascii="Times New Roman" w:cs="Times New Roman" w:eastAsia="Times New Roman" w:hAnsi="Times New Roman"/>
          <w:b/>
          <w:bCs/>
          <w:sz w:val="24"/>
          <w:szCs w:val="24"/>
        </w:rPr>
        <w:t xml:space="preserve">Operasi Data yang Diterapkan</w:t>
      </w:r>
    </w:p>
    <w:p>
      <w:pPr>
        <w:spacing w:after="120" w:line="276"/>
        <w:jc w:val="both"/>
      </w:pPr>
      <w:r>
        <w:rPr>
          <w:rFonts w:ascii="Times New Roman" w:cs="Times New Roman" w:eastAsia="Times New Roman" w:hAnsi="Times New Roman"/>
          <w:sz w:val="24"/>
          <w:szCs w:val="24"/>
        </w:rPr>
        <w:t xml:space="preserve">Setiap model data memerlukan operasi yang sesuai dengan cirinya. Tabel 8 memetakan secara sistematis operasi data yang diterapkan, model data yang mendasarinya, serta tujuan spesifik setiap operasi dalam konteks penelitian ini.</w:t>
      </w:r>
    </w:p>
    <w:p>
      <w:pPr>
        <w:spacing w:after="160" w:before="80"/>
        <w:jc w:val="center"/>
      </w:pPr>
      <w:r>
        <w:rPr>
          <w:rFonts w:ascii="Times New Roman" w:cs="Times New Roman" w:eastAsia="Times New Roman" w:hAnsi="Times New Roman"/>
          <w:sz w:val="20"/>
          <w:szCs w:val="20"/>
        </w:rPr>
        <w:t xml:space="preserve">Tabel 8. Model Data dan Operasi Data yang Diterapkan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900"/>
        <w:gridCol w:w="3120"/>
      </w:tblGrid>
      <w:tr>
        <w:trPr>
          <w:tblHeader/>
        </w:trPr>
        <w:tc>
          <w:tcPr>
            <w:tcW w:type="dxa" w:w="15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8"/>
                <w:szCs w:val="18"/>
              </w:rPr>
              <w:t xml:space="preserve">Operasi</w:t>
            </w:r>
          </w:p>
        </w:tc>
        <w:tc>
          <w:tcPr>
            <w:tcW w:type="dxa" w:w="15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8"/>
                <w:szCs w:val="18"/>
              </w:rPr>
              <w:t xml:space="preserve">Model Data</w:t>
            </w:r>
          </w:p>
        </w:tc>
        <w:tc>
          <w:tcPr>
            <w:tcW w:type="dxa" w:w="29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8"/>
                <w:szCs w:val="18"/>
              </w:rPr>
              <w:t xml:space="preserve">Deskripsi Teknis</w:t>
            </w:r>
          </w:p>
        </w:tc>
        <w:tc>
          <w:tcPr>
            <w:tcW w:type="dxa" w:w="312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8"/>
                <w:szCs w:val="18"/>
              </w:rPr>
              <w:t xml:space="preserve">Tujuan dalam Penelitian</w:t>
            </w:r>
          </w:p>
        </w:tc>
      </w:tr>
      <w:tr>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Selection</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Relasional</w:t>
            </w:r>
          </w:p>
        </w:tc>
        <w:tc>
          <w:tcPr>
            <w:tcW w:type="dxa" w:w="2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Penyaringan baris berdasarkan predikat kotak pembatas koordinat dan pencocokan pola untai teks pada kolom place</w:t>
            </w:r>
          </w:p>
        </w:tc>
        <w:tc>
          <w:tcPr>
            <w:tcW w:type="dxa" w:w="31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Membatasi cakupan analisis hanya pada wilayah Indonesia</w:t>
            </w:r>
          </w:p>
        </w:tc>
      </w:tr>
      <w:tr>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Projection</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Relasional</w:t>
            </w:r>
          </w:p>
        </w:tc>
        <w:tc>
          <w:tcPr>
            <w:tcW w:type="dxa" w:w="2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Pemilihan sebagian kolom dari struktur GeoJSON bersarang menjadi skema tabular datar</w:t>
            </w:r>
          </w:p>
        </w:tc>
        <w:tc>
          <w:tcPr>
            <w:tcW w:type="dxa" w:w="31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Menyederhanakan struktur dan membuang atribut yang tidak berkaitan dengan analisis</w:t>
            </w:r>
          </w:p>
        </w:tc>
      </w:tr>
      <w:tr>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Transformation</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Relasional dan deret waktu</w:t>
            </w:r>
          </w:p>
        </w:tc>
        <w:tc>
          <w:tcPr>
            <w:tcW w:type="dxa" w:w="2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Konversi tipe data, penguraian untai teks bersatuan, dan normalisasi zona waktu ke UTC</w:t>
            </w:r>
          </w:p>
        </w:tc>
        <w:tc>
          <w:tcPr>
            <w:tcW w:type="dxa" w:w="31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Menyeragamkan representasi data dari dua sumber yang berbeda format</w:t>
            </w:r>
          </w:p>
        </w:tc>
      </w:tr>
      <w:tr>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Deduplication</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Relasional</w:t>
            </w:r>
          </w:p>
        </w:tc>
        <w:tc>
          <w:tcPr>
            <w:tcW w:type="dxa" w:w="2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Penghapusan baris berdasarkan kunci gabungan koordinat terbulatkan dan ember waktu</w:t>
            </w:r>
          </w:p>
        </w:tc>
        <w:tc>
          <w:tcPr>
            <w:tcW w:type="dxa" w:w="31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Mencegah penghitungan ganda kejadian yang tercatat pada kedua sumber</w:t>
            </w:r>
          </w:p>
        </w:tc>
      </w:tr>
      <w:tr>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Join</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Relasional</w:t>
            </w:r>
          </w:p>
        </w:tc>
        <w:tc>
          <w:tcPr>
            <w:tcW w:type="dxa" w:w="2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Pencocokan antarsumber berdasarkan kedekatan spasial dan temporal</w:t>
            </w:r>
          </w:p>
        </w:tc>
        <w:tc>
          <w:tcPr>
            <w:tcW w:type="dxa" w:w="31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Melakukan validasi silang untuk menilai keandalan katalog</w:t>
            </w:r>
          </w:p>
        </w:tc>
      </w:tr>
      <w:tr>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Imputation</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Relasional</w:t>
            </w:r>
          </w:p>
        </w:tc>
        <w:tc>
          <w:tcPr>
            <w:tcW w:type="dxa" w:w="2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Pengisian nilai hilang dengan penanda dan pembuatan kolom indikator</w:t>
            </w:r>
          </w:p>
        </w:tc>
        <w:tc>
          <w:tcPr>
            <w:tcW w:type="dxa" w:w="31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Mempertahankan informasi ketidaklengkapan sebagai sinyal analitik</w:t>
            </w:r>
          </w:p>
        </w:tc>
      </w:tr>
      <w:tr>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Discretization</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Relasional dan geospasial</w:t>
            </w:r>
          </w:p>
        </w:tc>
        <w:tc>
          <w:tcPr>
            <w:tcW w:type="dxa" w:w="2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Pembagian nilai kontinu menjadi kategori diskret melalui pemotongan interval</w:t>
            </w:r>
          </w:p>
        </w:tc>
        <w:tc>
          <w:tcPr>
            <w:tcW w:type="dxa" w:w="31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Membentuk kelas kedalaman, pita magnitudo, dan zona grid</w:t>
            </w:r>
          </w:p>
        </w:tc>
      </w:tr>
      <w:tr>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Aggregation</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Relasional dan deret waktu</w:t>
            </w:r>
          </w:p>
        </w:tc>
        <w:tc>
          <w:tcPr>
            <w:tcW w:type="dxa" w:w="2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Pengelompokan berdasarkan zona dan periode dengan fungsi hitung, rerata, dan maksimum</w:t>
            </w:r>
          </w:p>
        </w:tc>
        <w:tc>
          <w:tcPr>
            <w:tcW w:type="dxa" w:w="31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Menghasilkan statistik per zona sebagai dasar penilaian risiko</w:t>
            </w:r>
          </w:p>
        </w:tc>
      </w:tr>
      <w:tr>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Backward rolling window</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Deret waktu</w:t>
            </w:r>
          </w:p>
        </w:tc>
        <w:tc>
          <w:tcPr>
            <w:tcW w:type="dxa" w:w="2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Perhitungan agregat pada jendela bergerak tujuh dan tiga puluh hari ke belakang per zona</w:t>
            </w:r>
          </w:p>
        </w:tc>
        <w:tc>
          <w:tcPr>
            <w:tcW w:type="dxa" w:w="31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Membentuk fitur intensitas aktivitas seismik terkini</w:t>
            </w:r>
          </w:p>
        </w:tc>
      </w:tr>
      <w:tr>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Forward rolling window</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Deret waktu</w:t>
            </w:r>
          </w:p>
        </w:tc>
        <w:tc>
          <w:tcPr>
            <w:tcW w:type="dxa" w:w="2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Perhitungan jumlah kejadian dan magnitudo maksimum pada jendela sembilan puluh hari ke depan per zona</w:t>
            </w:r>
          </w:p>
        </w:tc>
        <w:tc>
          <w:tcPr>
            <w:tcW w:type="dxa" w:w="31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Membentuk label risiko sebagai target prediksi yang belum diketahui pada saat prediksi</w:t>
            </w:r>
          </w:p>
        </w:tc>
      </w:tr>
      <w:tr>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Ranking</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Relasional</w:t>
            </w:r>
          </w:p>
        </w:tc>
        <w:tc>
          <w:tcPr>
            <w:tcW w:type="dxa" w:w="2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Perhitungan peringkat persentil terhadap komponen skor risiko</w:t>
            </w:r>
          </w:p>
        </w:tc>
        <w:tc>
          <w:tcPr>
            <w:tcW w:type="dxa" w:w="31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Menormalkan skor agar tidak bergantung pada skala absolut</w:t>
            </w:r>
          </w:p>
        </w:tc>
      </w:tr>
      <w:tr>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Graph construction</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Graf</w:t>
            </w:r>
          </w:p>
        </w:tc>
        <w:tc>
          <w:tcPr>
            <w:tcW w:type="dxa" w:w="2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Pembentukan simpul dari zona dan sisi dari kedekatan spasial-temporal antarkejadian</w:t>
            </w:r>
          </w:p>
        </w:tc>
        <w:tc>
          <w:tcPr>
            <w:tcW w:type="dxa" w:w="31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Memetakan struktur keterkaitan antarwilayah seismik</w:t>
            </w:r>
          </w:p>
        </w:tc>
      </w:tr>
      <w:tr>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Centrality</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Graf</w:t>
            </w:r>
          </w:p>
        </w:tc>
        <w:tc>
          <w:tcPr>
            <w:tcW w:type="dxa" w:w="2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Perhitungan derajat, keperantaraan, vektor eigen, dan PageRank</w:t>
            </w:r>
          </w:p>
        </w:tc>
        <w:tc>
          <w:tcPr>
            <w:tcW w:type="dxa" w:w="31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Mengidentifikasi zona yang paling sentral dalam jaringan aktivitas</w:t>
            </w:r>
          </w:p>
        </w:tc>
      </w:tr>
      <w:tr>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Community detection</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Graf</w:t>
            </w:r>
          </w:p>
        </w:tc>
        <w:tc>
          <w:tcPr>
            <w:tcW w:type="dxa" w:w="2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Partisi graf dengan algoritme Louvain berbasis maksimalisasi modularitas</w:t>
            </w:r>
          </w:p>
        </w:tc>
        <w:tc>
          <w:tcPr>
            <w:tcW w:type="dxa" w:w="31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Mengelompokkan zona yang pola aktivitasnya saling terkait</w:t>
            </w:r>
          </w:p>
        </w:tc>
      </w:tr>
      <w:tr>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Bipartite projection</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Graf</w:t>
            </w:r>
          </w:p>
        </w:tc>
        <w:tc>
          <w:tcPr>
            <w:tcW w:type="dxa" w:w="2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Proyeksi graf dua partit menjadi graf satu partit berbobot</w:t>
            </w:r>
          </w:p>
        </w:tc>
        <w:tc>
          <w:tcPr>
            <w:tcW w:type="dxa" w:w="31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Mengukur kemiripan karakteristik hazard antarwilayah</w:t>
            </w:r>
          </w:p>
        </w:tc>
      </w:tr>
    </w:tbl>
    <w:p>
      <w:pPr>
        <w:spacing w:after="120" w:line="276"/>
        <w:jc w:val="both"/>
      </w:pPr>
      <w:r>
        <w:rPr>
          <w:rFonts w:ascii="Times New Roman" w:cs="Times New Roman" w:eastAsia="Times New Roman" w:hAnsi="Times New Roman"/>
          <w:sz w:val="24"/>
          <w:szCs w:val="24"/>
        </w:rPr>
        <w:t xml:space="preserve">Penerapan operasi tersebut dilakukan secara berurutan disertai pencatatan jumlah baris sebelum dan sesudah setiap operasi. Pencatatan itu berfungsi ganda, yaitu sebagai mekanisme verifikasi bahwa setiap operasi berperilaku sesuai harapan sekaligus sebagai bukti audit yang memungkinkan penelusuran apabila ditemukan keganjilan pada hasil akhir. Tabel 9 menyajikan log operasi tersebut.</w:t>
      </w:r>
    </w:p>
    <w:p>
      <w:pPr>
        <w:spacing w:after="160" w:before="80"/>
        <w:jc w:val="center"/>
      </w:pPr>
      <w:r>
        <w:rPr>
          <w:rFonts w:ascii="Times New Roman" w:cs="Times New Roman" w:eastAsia="Times New Roman" w:hAnsi="Times New Roman"/>
          <w:sz w:val="20"/>
          <w:szCs w:val="20"/>
        </w:rPr>
        <w:t xml:space="preserve">Tabel 9. Log Operasi Data – Jumlah Baris Sebelum dan Sesudah</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3420"/>
      </w:tblGrid>
      <w:tr>
        <w:trPr>
          <w:tblHeader/>
        </w:trPr>
        <w:tc>
          <w:tcPr>
            <w:tcW w:type="dxa" w:w="26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9"/>
                <w:szCs w:val="19"/>
              </w:rPr>
              <w:t xml:space="preserve">Operasi</w:t>
            </w:r>
          </w:p>
        </w:tc>
        <w:tc>
          <w:tcPr>
            <w:tcW w:type="dxa" w:w="15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9"/>
                <w:szCs w:val="19"/>
              </w:rPr>
              <w:t xml:space="preserve">Sebelum</w:t>
            </w:r>
          </w:p>
        </w:tc>
        <w:tc>
          <w:tcPr>
            <w:tcW w:type="dxa" w:w="15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9"/>
                <w:szCs w:val="19"/>
              </w:rPr>
              <w:t xml:space="preserve">Sesudah</w:t>
            </w:r>
          </w:p>
        </w:tc>
        <w:tc>
          <w:tcPr>
            <w:tcW w:type="dxa" w:w="342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9"/>
                <w:szCs w:val="19"/>
              </w:rPr>
              <w:t xml:space="preserve">Tafsiran Perubahan</w:t>
            </w:r>
          </w:p>
        </w:tc>
      </w:tr>
      <w:tr>
        <w:tc>
          <w:tcPr>
            <w:tcW w:type="dxa" w:w="2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Pemuatan data gabungan</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9"/>
                <w:szCs w:val="19"/>
              </w:rPr>
              <w:t xml:space="preserve">0</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9"/>
                <w:szCs w:val="19"/>
              </w:rPr>
              <w:t xml:space="preserve">23.889</w:t>
            </w:r>
          </w:p>
        </w:tc>
        <w:tc>
          <w:tcPr>
            <w:tcW w:type="dxa" w:w="34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Penggabungan 23.874 rekaman USGS dan 15 rekaman BMKG</w:t>
            </w:r>
          </w:p>
        </w:tc>
      </w:tr>
      <w:tr>
        <w:tc>
          <w:tcPr>
            <w:tcW w:type="dxa" w:w="2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Selection wilayah Indonesia</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9"/>
                <w:szCs w:val="19"/>
              </w:rPr>
              <w:t xml:space="preserve">23.889</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9"/>
                <w:szCs w:val="19"/>
              </w:rPr>
              <w:t xml:space="preserve">19.266</w:t>
            </w:r>
          </w:p>
        </w:tc>
        <w:tc>
          <w:tcPr>
            <w:tcW w:type="dxa" w:w="34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Sebanyak 4.623 rekaman di luar wilayah Indonesia disaring, setara 19,4 persen</w:t>
            </w:r>
          </w:p>
        </w:tc>
      </w:tr>
      <w:tr>
        <w:tc>
          <w:tcPr>
            <w:tcW w:type="dxa" w:w="2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Transformation waktu</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9"/>
                <w:szCs w:val="19"/>
              </w:rPr>
              <w:t xml:space="preserve">19.266</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9"/>
                <w:szCs w:val="19"/>
              </w:rPr>
              <w:t xml:space="preserve">19.266</w:t>
            </w:r>
          </w:p>
        </w:tc>
        <w:tc>
          <w:tcPr>
            <w:tcW w:type="dxa" w:w="34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Jumlah baris tetap, bertambah tiga kolom turunan waktu</w:t>
            </w:r>
          </w:p>
        </w:tc>
      </w:tr>
      <w:tr>
        <w:tc>
          <w:tcPr>
            <w:tcW w:type="dxa" w:w="2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Deduplication</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9"/>
                <w:szCs w:val="19"/>
              </w:rPr>
              <w:t xml:space="preserve">19.266</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9"/>
                <w:szCs w:val="19"/>
              </w:rPr>
              <w:t xml:space="preserve">19.266</w:t>
            </w:r>
          </w:p>
        </w:tc>
        <w:tc>
          <w:tcPr>
            <w:tcW w:type="dxa" w:w="34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Tidak ditemukan penggandaan; katalog sumber sudah bersih</w:t>
            </w:r>
          </w:p>
        </w:tc>
      </w:tr>
      <w:tr>
        <w:tc>
          <w:tcPr>
            <w:tcW w:type="dxa" w:w="2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Join validasi silang</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9"/>
                <w:szCs w:val="19"/>
              </w:rPr>
              <w:t xml:space="preserve">19.266</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9"/>
                <w:szCs w:val="19"/>
              </w:rPr>
              <w:t xml:space="preserve">19.266</w:t>
            </w:r>
          </w:p>
        </w:tc>
        <w:tc>
          <w:tcPr>
            <w:tcW w:type="dxa" w:w="34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Jumlah baris tetap, dua kejadian ditandai terkonfirmasi dua sumber</w:t>
            </w:r>
          </w:p>
        </w:tc>
      </w:tr>
      <w:tr>
        <w:tc>
          <w:tcPr>
            <w:tcW w:type="dxa" w:w="2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Imputation</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9"/>
                <w:szCs w:val="19"/>
              </w:rPr>
              <w:t xml:space="preserve">19.266</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9"/>
                <w:szCs w:val="19"/>
              </w:rPr>
              <w:t xml:space="preserve">19.266</w:t>
            </w:r>
          </w:p>
        </w:tc>
        <w:tc>
          <w:tcPr>
            <w:tcW w:type="dxa" w:w="34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Jumlah baris tetap, bertambah empat kolom indikator ketidaklengkapan</w:t>
            </w:r>
          </w:p>
        </w:tc>
      </w:tr>
      <w:tr>
        <w:tc>
          <w:tcPr>
            <w:tcW w:type="dxa" w:w="2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Discretization</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9"/>
                <w:szCs w:val="19"/>
              </w:rPr>
              <w:t xml:space="preserve">19.266</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9"/>
                <w:szCs w:val="19"/>
              </w:rPr>
              <w:t xml:space="preserve">19.266</w:t>
            </w:r>
          </w:p>
        </w:tc>
        <w:tc>
          <w:tcPr>
            <w:tcW w:type="dxa" w:w="34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Jumlah baris tetap, bertambah lima kolom kategori dan zona</w:t>
            </w:r>
          </w:p>
        </w:tc>
      </w:tr>
      <w:tr>
        <w:tc>
          <w:tcPr>
            <w:tcW w:type="dxa" w:w="2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Aggregation zona-bulan</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9"/>
                <w:szCs w:val="19"/>
              </w:rPr>
              <w:t xml:space="preserve">19.266</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9"/>
                <w:szCs w:val="19"/>
              </w:rPr>
              <w:t xml:space="preserve">5.877</w:t>
            </w:r>
          </w:p>
        </w:tc>
        <w:tc>
          <w:tcPr>
            <w:tcW w:type="dxa" w:w="34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Pengelompokan menghasilkan tabel agregat tersendiri, bukan pengurangan data asli</w:t>
            </w:r>
          </w:p>
        </w:tc>
      </w:tr>
      <w:tr>
        <w:tc>
          <w:tcPr>
            <w:tcW w:type="dxa" w:w="2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Forward window pelabelan</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9"/>
                <w:szCs w:val="19"/>
              </w:rPr>
              <w:t xml:space="preserve">19.266</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9"/>
                <w:szCs w:val="19"/>
              </w:rPr>
              <w:t xml:space="preserve">18.936</w:t>
            </w:r>
          </w:p>
        </w:tc>
        <w:tc>
          <w:tcPr>
            <w:tcW w:type="dxa" w:w="34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Sebanyak 330 kejadian di ujung rentang data tidak memiliki jendela sembilan puluh hari penuh</w:t>
            </w:r>
          </w:p>
        </w:tc>
      </w:tr>
    </w:tbl>
    <w:p>
      <w:pPr>
        <w:spacing w:after="120" w:line="276"/>
        <w:jc w:val="both"/>
      </w:pPr>
      <w:r>
        <w:rPr>
          <w:rFonts w:ascii="Times New Roman" w:cs="Times New Roman" w:eastAsia="Times New Roman" w:hAnsi="Times New Roman"/>
          <w:sz w:val="24"/>
          <w:szCs w:val="24"/>
        </w:rPr>
        <w:t xml:space="preserve">Log operasi tersebut mengungkap beberapa temuan yang layak dicermati. Pertama, operasi selection membuang 4.623 rekaman atau 19,4 persen dari data mentah. Proporsi yang cukup besar itu menegaskan bahwa penggunaan kotak pembatas koordinat saja tidak memadai karena kotak pembatas wilayah Indonesia turut mencakup sebagian wilayah Filipina di utara, Timor Leste di tenggara, serta perairan Australia di selatan. Penyaringan tambahan berdasarkan atribut place diperlukan untuk memastikan hanya kejadian di wilayah Indonesia yang dianalisis.</w:t>
      </w:r>
    </w:p>
    <w:p>
      <w:pPr>
        <w:spacing w:after="120" w:line="276"/>
        <w:jc w:val="both"/>
      </w:pPr>
      <w:r>
        <w:rPr>
          <w:rFonts w:ascii="Times New Roman" w:cs="Times New Roman" w:eastAsia="Times New Roman" w:hAnsi="Times New Roman"/>
          <w:sz w:val="24"/>
          <w:szCs w:val="24"/>
        </w:rPr>
        <w:t xml:space="preserve">Kedua, operasi deduplication tidak menghasilkan perubahan sama sekali. Sebagaimana dibahas pada Subbab 3.4, hal tersebut menunjukkan bahwa katalog USGS telah dideduplikasi di sisi penyedia. Temuan itu bernilai karena memberikan keyakinan terhadap mutu sumber data yang digunakan.</w:t>
      </w:r>
    </w:p>
    <w:p>
      <w:pPr>
        <w:spacing w:after="120" w:line="276"/>
        <w:jc w:val="both"/>
      </w:pPr>
      <w:r>
        <w:rPr>
          <w:rFonts w:ascii="Times New Roman" w:cs="Times New Roman" w:eastAsia="Times New Roman" w:hAnsi="Times New Roman"/>
          <w:sz w:val="24"/>
          <w:szCs w:val="24"/>
        </w:rPr>
        <w:t xml:space="preserve">Ketiga, hanya dua kejadian yang berhasil tervalidasi silang oleh kedua sumber. Angka yang sangat rendah tersebut disebabkan oleh perbedaan cakupan temporal: BMKG hanya menyediakan lima belas kejadian terkini, sedangkan USGS mencakup rentang sebelas tahun. Keterbatasan itu merupakan konsekuensi ketersediaan antarmuka pemrograman publik BMKG, bukan pertanda ketidaksesuaian antarsumber.</w:t>
      </w:r>
    </w:p>
    <w:p>
      <w:pPr>
        <w:spacing w:after="120" w:line="276"/>
        <w:jc w:val="both"/>
      </w:pPr>
      <w:r>
        <w:rPr>
          <w:rFonts w:ascii="Times New Roman" w:cs="Times New Roman" w:eastAsia="Times New Roman" w:hAnsi="Times New Roman"/>
          <w:sz w:val="24"/>
          <w:szCs w:val="24"/>
        </w:rPr>
        <w:t xml:space="preserve">Keempat, operasi forward window pelabelan mengeluarkan 330 kejadian yang berada di ujung rentang data. Kejadian tersebut belum memiliki jendela sembilan puluh hari penuh sehingga labelnya dihitung dari jendela yang terpotong dan tidak sebanding dengan kejadian lain. Alasan lengkap mengenai perlunya jendela ke depan dibahas pada Subbab 5.2.</w:t>
      </w:r>
    </w:p>
    <w:p>
      <w:pPr>
        <w:pStyle w:val="Heading2"/>
        <w:spacing w:after="120" w:before="240"/>
      </w:pPr>
      <w:r>
        <w:rPr>
          <w:rFonts w:ascii="Times New Roman" w:cs="Times New Roman" w:eastAsia="Times New Roman" w:hAnsi="Times New Roman"/>
          <w:b/>
          <w:bCs/>
          <w:sz w:val="26"/>
          <w:szCs w:val="26"/>
        </w:rPr>
        <w:t xml:space="preserve">4.3  Dataset untuk Diolah Menggunakan Machine Learning</w:t>
      </w:r>
    </w:p>
    <w:p>
      <w:pPr>
        <w:spacing w:after="120" w:line="276"/>
        <w:jc w:val="both"/>
      </w:pPr>
      <w:r>
        <w:rPr>
          <w:rFonts w:ascii="Times New Roman" w:cs="Times New Roman" w:eastAsia="Times New Roman" w:hAnsi="Times New Roman"/>
          <w:sz w:val="24"/>
          <w:szCs w:val="24"/>
        </w:rPr>
        <w:t xml:space="preserve">Dari keseluruhan data yang telah diulas, dataset katalog gempa terpadu dipilih untuk diolah lebih lanjut dengan pendekatan Machine Learning. Pemilihan tersebut berpijak pada tiga pertimbangan. Pertama, volume data sebanyak 19.266 rekaman memadai untuk pelatihan model klasifikasi tanpa risiko kekurangan data. Kedua, dataset memiliki kelengkapan atribut kuantitatif yang memungkinkan rekayasa fitur yang bermakna. Ketiga, dataset memiliki dimensi temporal yang memungkinkan pemisahan data latih dan data uji berbasis waktu sekaligus pembentukan label prediktif berbasis jendela ke depan.</w:t>
      </w:r>
    </w:p>
    <w:p>
      <w:pPr>
        <w:spacing w:after="160" w:before="80"/>
        <w:jc w:val="center"/>
      </w:pPr>
      <w:r>
        <w:rPr>
          <w:rFonts w:ascii="Times New Roman" w:cs="Times New Roman" w:eastAsia="Times New Roman" w:hAnsi="Times New Roman"/>
          <w:sz w:val="20"/>
          <w:szCs w:val="20"/>
        </w:rPr>
        <w:t xml:space="preserve">Tabel 10. Skema Dataset Machine Learning</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5420"/>
      </w:tblGrid>
      <w:tr>
        <w:trPr>
          <w:tblHeader/>
        </w:trPr>
        <w:tc>
          <w:tcPr>
            <w:tcW w:type="dxa" w:w="21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9"/>
                <w:szCs w:val="19"/>
              </w:rPr>
              <w:t xml:space="preserve">Kolom</w:t>
            </w:r>
          </w:p>
        </w:tc>
        <w:tc>
          <w:tcPr>
            <w:tcW w:type="dxa" w:w="15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9"/>
                <w:szCs w:val="19"/>
              </w:rPr>
              <w:t xml:space="preserve">Tipe</w:t>
            </w:r>
          </w:p>
        </w:tc>
        <w:tc>
          <w:tcPr>
            <w:tcW w:type="dxa" w:w="542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9"/>
                <w:szCs w:val="19"/>
              </w:rPr>
              <w:t xml:space="preserve">Deskripsi</w:t>
            </w:r>
          </w:p>
        </w:tc>
      </w:tr>
      <w:tr>
        <w:tc>
          <w:tcPr>
            <w:tcW w:type="dxa" w:w="2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event_id</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string</w:t>
            </w:r>
          </w:p>
        </w:tc>
        <w:tc>
          <w:tcPr>
            <w:tcW w:type="dxa" w:w="54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Pengenal unik kejadian dari sumber</w:t>
            </w:r>
          </w:p>
        </w:tc>
      </w:tr>
      <w:tr>
        <w:tc>
          <w:tcPr>
            <w:tcW w:type="dxa" w:w="2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source</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string</w:t>
            </w:r>
          </w:p>
        </w:tc>
        <w:tc>
          <w:tcPr>
            <w:tcW w:type="dxa" w:w="54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Penanda asal data, bernilai usgs atau bmkg</w:t>
            </w:r>
          </w:p>
        </w:tc>
      </w:tr>
      <w:tr>
        <w:tc>
          <w:tcPr>
            <w:tcW w:type="dxa" w:w="2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time_utc</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datetime</w:t>
            </w:r>
          </w:p>
        </w:tc>
        <w:tc>
          <w:tcPr>
            <w:tcW w:type="dxa" w:w="54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Waktu kejadian dalam zona waktu UTC</w:t>
            </w:r>
          </w:p>
        </w:tc>
      </w:tr>
      <w:tr>
        <w:tc>
          <w:tcPr>
            <w:tcW w:type="dxa" w:w="2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mag</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float</w:t>
            </w:r>
          </w:p>
        </w:tc>
        <w:tc>
          <w:tcPr>
            <w:tcW w:type="dxa" w:w="54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Magnitudo kejadian pada skala yang ditunjukkan mag_type</w:t>
            </w:r>
          </w:p>
        </w:tc>
      </w:tr>
      <w:tr>
        <w:tc>
          <w:tcPr>
            <w:tcW w:type="dxa" w:w="2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mag_type</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string</w:t>
            </w:r>
          </w:p>
        </w:tc>
        <w:tc>
          <w:tcPr>
            <w:tcW w:type="dxa" w:w="54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Skala magnitudo yang digunakan, misalnya mb, mww, atau ml</w:t>
            </w:r>
          </w:p>
        </w:tc>
      </w:tr>
      <w:tr>
        <w:tc>
          <w:tcPr>
            <w:tcW w:type="dxa" w:w="2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depth_km</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float</w:t>
            </w:r>
          </w:p>
        </w:tc>
        <w:tc>
          <w:tcPr>
            <w:tcW w:type="dxa" w:w="54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Kedalaman hiposenter dalam kilometer</w:t>
            </w:r>
          </w:p>
        </w:tc>
      </w:tr>
      <w:tr>
        <w:tc>
          <w:tcPr>
            <w:tcW w:type="dxa" w:w="2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latitude, longitude</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float</w:t>
            </w:r>
          </w:p>
        </w:tc>
        <w:tc>
          <w:tcPr>
            <w:tcW w:type="dxa" w:w="54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Koordinat episenter dalam derajat desimal</w:t>
            </w:r>
          </w:p>
        </w:tc>
      </w:tr>
      <w:tr>
        <w:tc>
          <w:tcPr>
            <w:tcW w:type="dxa" w:w="2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tsunami</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int</w:t>
            </w:r>
          </w:p>
        </w:tc>
        <w:tc>
          <w:tcPr>
            <w:tcW w:type="dxa" w:w="54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Indikator potensi tsunami, bernilai 0 atau 1</w:t>
            </w:r>
          </w:p>
        </w:tc>
      </w:tr>
      <w:tr>
        <w:tc>
          <w:tcPr>
            <w:tcW w:type="dxa" w:w="2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sig</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float</w:t>
            </w:r>
          </w:p>
        </w:tc>
        <w:tc>
          <w:tcPr>
            <w:tcW w:type="dxa" w:w="54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Skor signifikansi kejadian menurut metodologi USGS</w:t>
            </w:r>
          </w:p>
        </w:tc>
      </w:tr>
      <w:tr>
        <w:tc>
          <w:tcPr>
            <w:tcW w:type="dxa" w:w="2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gap, dmin, rms, nst</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float</w:t>
            </w:r>
          </w:p>
        </w:tc>
        <w:tc>
          <w:tcPr>
            <w:tcW w:type="dxa" w:w="54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Metrik mutu penentuan lokasi hiposenter</w:t>
            </w:r>
          </w:p>
        </w:tc>
      </w:tr>
      <w:tr>
        <w:tc>
          <w:tcPr>
            <w:tcW w:type="dxa" w:w="2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mmi, cdi, felt</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float</w:t>
            </w:r>
          </w:p>
        </w:tc>
        <w:tc>
          <w:tcPr>
            <w:tcW w:type="dxa" w:w="54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Intensitas terukur dan laporan masyarakat, bernilai –1 bila tidak tersedia</w:t>
            </w:r>
          </w:p>
        </w:tc>
      </w:tr>
      <w:tr>
        <w:tc>
          <w:tcPr>
            <w:tcW w:type="dxa" w:w="2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depth_class, mag_band</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category</w:t>
            </w:r>
          </w:p>
        </w:tc>
        <w:tc>
          <w:tcPr>
            <w:tcW w:type="dxa" w:w="54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Kategori hasil diskretisasi kedalaman dan magnitudo</w:t>
            </w:r>
          </w:p>
        </w:tc>
      </w:tr>
      <w:tr>
        <w:tc>
          <w:tcPr>
            <w:tcW w:type="dxa" w:w="2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zone_id</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string</w:t>
            </w:r>
          </w:p>
        </w:tc>
        <w:tc>
          <w:tcPr>
            <w:tcW w:type="dxa" w:w="54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Pengenal zona grid satu derajat hasil diskretisasi koordinat</w:t>
            </w:r>
          </w:p>
        </w:tc>
      </w:tr>
    </w:tbl>
    <w:p>
      <w:pPr>
        <w:spacing w:after="120" w:line="276"/>
        <w:jc w:val="both"/>
      </w:pPr>
      <w:r>
        <w:rPr>
          <w:rFonts w:ascii="Times New Roman" w:cs="Times New Roman" w:eastAsia="Times New Roman" w:hAnsi="Times New Roman"/>
          <w:sz w:val="24"/>
          <w:szCs w:val="24"/>
        </w:rPr>
        <w:t xml:space="preserve">Skema pada Tabel 10 merupakan hasil akhir setelah seluruh operasi pembersihan diterapkan. Kolom gap, dmin, rms, dan nst mewakili metrik mutu penentuan lokasi yang dihasilkan jaringan seismograf. Nilai gap yang kecil menandakan stasiun pengamat tersebar merata mengelilingi episenter sehingga penentuan lokasi lebih akurat, sedangkan nilai nst yang besar menandakan banyaknya stasiun yang berkontribusi. Metrik tersebut dipertahankan sebagai fitur karena secara tidak langsung mencerminkan kerapatan jaringan pemantauan di suatu wilayah. Sebagaimana dibahas pada Subbab 5.2, sifat itu justru sempat menjadi sumber persoalan metodologis yang perlu ditangani secara khusus.</w:t>
      </w:r>
    </w:p>
    <w:p>
      <w:r>
        <w:br w:type="page"/>
      </w:r>
    </w:p>
    <w:p>
      <w:pPr>
        <w:pStyle w:val="Heading1"/>
        <w:spacing w:after="240" w:before="240"/>
        <w:jc w:val="center"/>
      </w:pPr>
      <w:r>
        <w:rPr>
          <w:rFonts w:ascii="Times New Roman" w:cs="Times New Roman" w:eastAsia="Times New Roman" w:hAnsi="Times New Roman"/>
          <w:b/>
          <w:bCs/>
          <w:sz w:val="28"/>
          <w:szCs w:val="28"/>
        </w:rPr>
        <w:t xml:space="preserve">BAB V MACHINE LEARNING UNTUK BIG DATA</w:t>
      </w:r>
    </w:p>
    <w:p>
      <w:pPr>
        <w:spacing w:after="120" w:line="276"/>
        <w:jc w:val="both"/>
      </w:pPr>
      <w:r>
        <w:rPr>
          <w:rFonts w:ascii="Times New Roman" w:cs="Times New Roman" w:eastAsia="Times New Roman" w:hAnsi="Times New Roman"/>
          <w:sz w:val="24"/>
          <w:szCs w:val="24"/>
        </w:rPr>
        <w:t xml:space="preserve">Bab ini membahas penerapan Machine Learning untuk menyelesaikan permasalahan klasifikasi tingkat risiko wilayah seismik. Pembahasan mencakup perumusan masalah, praproses data, rekayasa fitur, pemilihan algoritme, pengembangan model dengan dan tanpa Spark MLlib, evaluasi kinerja, serta analisis atas hasil yang diperoleh. Bagian rekayasa fitur memperoleh porsi pembahasan paling luas karena pada tahap itulah ditemukan dan diperbaiki dua cacat metodologis yang berpotensi membatalkan keabsahan seluruh hasil.</w:t>
      </w:r>
    </w:p>
    <w:p>
      <w:pPr>
        <w:pStyle w:val="Heading3"/>
        <w:spacing w:after="100" w:before="180"/>
      </w:pPr>
      <w:r>
        <w:rPr>
          <w:rFonts w:ascii="Times New Roman" w:cs="Times New Roman" w:eastAsia="Times New Roman" w:hAnsi="Times New Roman"/>
          <w:b/>
          <w:bCs/>
          <w:sz w:val="24"/>
          <w:szCs w:val="24"/>
        </w:rPr>
        <w:t xml:space="preserve">Perumusan Masalah</w:t>
      </w:r>
    </w:p>
    <w:p>
      <w:pPr>
        <w:spacing w:after="120" w:line="276"/>
        <w:jc w:val="both"/>
      </w:pPr>
      <w:r>
        <w:rPr>
          <w:rFonts w:ascii="Times New Roman" w:cs="Times New Roman" w:eastAsia="Times New Roman" w:hAnsi="Times New Roman"/>
          <w:sz w:val="24"/>
          <w:szCs w:val="24"/>
        </w:rPr>
        <w:t xml:space="preserve">Permasalahan dirumuskan sebagai klasifikasi multikelas untuk memprediksi tingkat risiko suatu zona seismik pada horizon sembilan puluh hari setelah suatu kejadian gempa berlangsung, dengan tiga kelas keluaran, yaitu rendah, sedang, dan tinggi. Perumusan tersebut perlu dibedakan secara tegas dari perumusan yang lebih umum, tetapi keliru, yaitu memprediksi besaran gempa itu sendiri. Memprediksi magnitudo gempa sebelum kejadian merupakan permasalahan yang hingga kini belum terpecahkan dalam seismologi dan tidak realistis diklaim dapat diselesaikan dengan pendekatan Machine Learning atas data katalog.</w:t>
      </w:r>
    </w:p>
    <w:p>
      <w:pPr>
        <w:spacing w:after="120" w:line="276"/>
        <w:jc w:val="both"/>
      </w:pPr>
      <w:r>
        <w:rPr>
          <w:rFonts w:ascii="Times New Roman" w:cs="Times New Roman" w:eastAsia="Times New Roman" w:hAnsi="Times New Roman"/>
          <w:sz w:val="24"/>
          <w:szCs w:val="24"/>
        </w:rPr>
        <w:t xml:space="preserve">Yang dapat diprediksi secara metodologis sahih adalah tingkat aktivitas dan keparahan seismik suatu zona pada periode mendatang berdasarkan pola aktivitas yang teramati hingga saat prediksi dilakukan. Zona yang sedang mengalami peningkatan frekuensi kejadian memiliki peluang berbeda untuk mengalami kejadian berkekuatan besar dalam tiga bulan berikutnya dibandingkan zona yang sedang tenang. Klasifikasi itulah yang menjadi sasaran model, dengan kegunaan praktis sebagai dasar penentuan prioritas mitigasi jangka pendek antarwilayah.</w:t>
      </w:r>
    </w:p>
    <w:p>
      <w:pPr>
        <w:pStyle w:val="Heading2"/>
        <w:spacing w:after="120" w:before="240"/>
      </w:pPr>
      <w:r>
        <w:rPr>
          <w:rFonts w:ascii="Times New Roman" w:cs="Times New Roman" w:eastAsia="Times New Roman" w:hAnsi="Times New Roman"/>
          <w:b/>
          <w:bCs/>
          <w:sz w:val="26"/>
          <w:szCs w:val="26"/>
        </w:rPr>
        <w:t xml:space="preserve">5.1  Data Preprocessing</w:t>
      </w:r>
    </w:p>
    <w:p>
      <w:pPr>
        <w:spacing w:after="120" w:line="276"/>
        <w:jc w:val="both"/>
      </w:pPr>
      <w:r>
        <w:rPr>
          <w:rFonts w:ascii="Times New Roman" w:cs="Times New Roman" w:eastAsia="Times New Roman" w:hAnsi="Times New Roman"/>
          <w:sz w:val="24"/>
          <w:szCs w:val="24"/>
        </w:rPr>
        <w:t xml:space="preserve">Tahap praproses mencakup seluruh operasi yang telah diuraikan pada Subbab 4.2 dengan penekanan pada tiga aspek yang berdampak langsung pada kesiapan data untuk pelatihan model.</w:t>
      </w:r>
    </w:p>
    <w:p>
      <w:pPr>
        <w:spacing w:after="120" w:line="276"/>
        <w:jc w:val="both"/>
      </w:pPr>
      <w:r>
        <w:rPr>
          <w:rFonts w:ascii="Times New Roman" w:cs="Times New Roman" w:eastAsia="Times New Roman" w:hAnsi="Times New Roman"/>
          <w:sz w:val="24"/>
          <w:szCs w:val="24"/>
        </w:rPr>
        <w:t xml:space="preserve">Aspek pertama adalah konsistensi tipe data. Pada tahap awal implementasi ditemukan bahwa kolom gap, dmin, rms, dan nst bertipe object, bukan numerik. Penyebabnya adalah penggabungan data USGS yang bernilai float dengan data BMKG yang bernilai kosong pada kolom tersebut sehingga operasi pengisian nilai hilang tidak mengubah tipe data kolom. Persoalan itu tidak menimbulkan kesalahan pada scikit-learn yang toleran terhadap tipe object berisi nilai numerik, tetapi menyebabkan kegagalan pada Spark MLlib yang mensyaratkan tipe numerik eksplisit. Perbaikan dilakukan dengan menerapkan konversi paksa ke tipe numerik sebelum operasi pengisian nilai hilang.</w:t>
      </w:r>
    </w:p>
    <w:p>
      <w:pPr>
        <w:spacing w:after="120" w:line="276"/>
        <w:jc w:val="both"/>
      </w:pPr>
      <w:r>
        <w:rPr>
          <w:rFonts w:ascii="Times New Roman" w:cs="Times New Roman" w:eastAsia="Times New Roman" w:hAnsi="Times New Roman"/>
          <w:sz w:val="24"/>
          <w:szCs w:val="24"/>
        </w:rPr>
        <w:t xml:space="preserve">Aspek kedua adalah penanganan kolom sig untuk data BMKG. Kolom sig merupakan skor signifikansi yang dihitung USGS berdasarkan gabungan magnitudo, intensitas, kedalaman, dan jumlah laporan masyarakat. BMKG tidak menyediakan atribut setara sehingga rekaman dari BMKG bernilai kosong pada kolom tersebut. Karena nilai sig diperlukan pada perhitungan lanjutan, dilakukan estimasi dengan pendekatan proporsional terhadap kuadrat magnitudo, disertai penandaan melalui kolom sig_estimated agar rekaman hasil estimasi dapat dibedakan dari nilai terukur.</w:t>
      </w:r>
    </w:p>
    <w:p>
      <w:pPr>
        <w:spacing w:after="120" w:line="276"/>
        <w:jc w:val="both"/>
      </w:pPr>
      <w:r>
        <w:rPr>
          <w:rFonts w:ascii="Times New Roman" w:cs="Times New Roman" w:eastAsia="Times New Roman" w:hAnsi="Times New Roman"/>
          <w:sz w:val="24"/>
          <w:szCs w:val="24"/>
        </w:rPr>
        <w:t xml:space="preserve">Aspek ketiga adalah standardisasi skala fitur. Fitur yang digunakan memiliki rentang nilai yang sangat berbeda, mulai dari indikator biner bernilai nol dan satu hingga energi seismik yang mencapai orde sepuluh pangkat enam belas. Perbedaan skala sebesar itu menyebabkan algoritme berbasis jarak dan gradien memberikan bobot berlebihan pada fitur berskala besar. Standardisasi diterapkan melalui transformasi ke sebaran dengan rerata nol dan simpangan baku satu, dilakukan di dalam pipeline agar parameter standardisasi hanya dihitung dari data latih dan tidak bocor dari data uji.</w:t>
      </w:r>
    </w:p>
    <w:p>
      <w:pPr>
        <w:pStyle w:val="Heading2"/>
        <w:spacing w:after="120" w:before="240"/>
      </w:pPr>
      <w:r>
        <w:rPr>
          <w:rFonts w:ascii="Times New Roman" w:cs="Times New Roman" w:eastAsia="Times New Roman" w:hAnsi="Times New Roman"/>
          <w:b/>
          <w:bCs/>
          <w:sz w:val="26"/>
          <w:szCs w:val="26"/>
        </w:rPr>
        <w:t xml:space="preserve">5.2  Feature Engineering</w:t>
      </w:r>
    </w:p>
    <w:p>
      <w:pPr>
        <w:spacing w:after="120" w:line="276"/>
        <w:jc w:val="both"/>
      </w:pPr>
      <w:r>
        <w:rPr>
          <w:rFonts w:ascii="Times New Roman" w:cs="Times New Roman" w:eastAsia="Times New Roman" w:hAnsi="Times New Roman"/>
          <w:sz w:val="24"/>
          <w:szCs w:val="24"/>
        </w:rPr>
        <w:t xml:space="preserve">Rekayasa fitur pada penelitian ini menghadapi tantangan metodologis yang berat berupa kebocoran data. Uraian mengenai proses penemuan dan penyelesaiannya disajikan secara rinci karena menjadi pembelajaran utama penelitian ini sekaligus menunjukkan bahwa akurasi yang tinggi tidak dengan sendirinya menandakan model yang baik.</w:t>
      </w:r>
    </w:p>
    <w:p>
      <w:pPr>
        <w:pStyle w:val="Heading3"/>
        <w:spacing w:after="100" w:before="180"/>
      </w:pPr>
      <w:r>
        <w:rPr>
          <w:rFonts w:ascii="Times New Roman" w:cs="Times New Roman" w:eastAsia="Times New Roman" w:hAnsi="Times New Roman"/>
          <w:b/>
          <w:bCs/>
          <w:sz w:val="24"/>
          <w:szCs w:val="24"/>
        </w:rPr>
        <w:t xml:space="preserve">Rancangan Pertama dan Kebocoran melalui Korelasi Atribut</w:t>
      </w:r>
    </w:p>
    <w:p>
      <w:pPr>
        <w:spacing w:after="120" w:line="276"/>
        <w:jc w:val="both"/>
      </w:pPr>
      <w:r>
        <w:rPr>
          <w:rFonts w:ascii="Times New Roman" w:cs="Times New Roman" w:eastAsia="Times New Roman" w:hAnsi="Times New Roman"/>
          <w:sz w:val="24"/>
          <w:szCs w:val="24"/>
        </w:rPr>
        <w:t xml:space="preserve">Rancangan pertama menetapkan label risiko berdasarkan nilai sig dengan ambang persentil enam puluh dan delapan puluh lima. Pendekatan tersebut tampak masuk akal karena sig merupakan skor signifikansi resmi yang telah mempertimbangkan berbagai faktor. Model yang dilatih dengan label itu menghasilkan akurasi di atas 99 persen pada seluruh algoritme yang diuji.</w:t>
      </w:r>
    </w:p>
    <w:p>
      <w:pPr>
        <w:spacing w:after="120" w:line="276"/>
        <w:jc w:val="both"/>
      </w:pPr>
      <w:r>
        <w:rPr>
          <w:rFonts w:ascii="Times New Roman" w:cs="Times New Roman" w:eastAsia="Times New Roman" w:hAnsi="Times New Roman"/>
          <w:sz w:val="24"/>
          <w:szCs w:val="24"/>
        </w:rPr>
        <w:t xml:space="preserve">Akurasi setinggi itu justru menimbulkan kecurigaan. Pemeriksaan korelasi antara sig dan fitur masukan mengungkap bahwa korelasi antara sig dan mag mencapai 0,95. Karena label dibentuk dari sig, sedangkan mag dipakai sebagai fitur masukan, model pada dasarnya hanya menebak ulang informasi yang sudah terkandung dalam masukannya sendiri. Akurasi tinggi tersebut tidak mencerminkan kemampuan prediktif, melainkan merupakan gejala kebocoran data.</w:t>
      </w:r>
    </w:p>
    <w:p>
      <w:pPr>
        <w:pStyle w:val="Heading3"/>
        <w:spacing w:after="100" w:before="180"/>
      </w:pPr>
      <w:r>
        <w:rPr>
          <w:rFonts w:ascii="Times New Roman" w:cs="Times New Roman" w:eastAsia="Times New Roman" w:hAnsi="Times New Roman"/>
          <w:b/>
          <w:bCs/>
          <w:sz w:val="24"/>
          <w:szCs w:val="24"/>
        </w:rPr>
        <w:t xml:space="preserve">Rancangan Kedua dan Kebocoran melalui Identitas Geografis</w:t>
      </w:r>
    </w:p>
    <w:p>
      <w:pPr>
        <w:spacing w:after="120" w:line="276"/>
        <w:jc w:val="both"/>
      </w:pPr>
      <w:r>
        <w:rPr>
          <w:rFonts w:ascii="Times New Roman" w:cs="Times New Roman" w:eastAsia="Times New Roman" w:hAnsi="Times New Roman"/>
          <w:sz w:val="24"/>
          <w:szCs w:val="24"/>
        </w:rPr>
        <w:t xml:space="preserve">Rancangan kedua mendefinisikan ulang label sebagai proksi risiko zona yang dihitung dari statistik historis zona, yaitu peringkat persentil jumlah kejadian dan proporsi kejadian dangkal pada zona bersangkutan. Model yang dilatih dengan label tersebut mencapai akurasi 0,72, angka yang tampak wajar dan tidak lagi mencurigakan.</w:t>
      </w:r>
    </w:p>
    <w:p>
      <w:pPr>
        <w:spacing w:after="120" w:line="276"/>
        <w:jc w:val="both"/>
      </w:pPr>
      <w:r>
        <w:rPr>
          <w:rFonts w:ascii="Times New Roman" w:cs="Times New Roman" w:eastAsia="Times New Roman" w:hAnsi="Times New Roman"/>
          <w:sz w:val="24"/>
          <w:szCs w:val="24"/>
        </w:rPr>
        <w:t xml:space="preserve">Pemeriksaan lanjutan mengungkap bahwa rancangan kedua ternyata masih mengandung dua cacat. Cacat pertama adalah label bersifat tetap untuk setiap zona: seluruh 430 zona memiliki label tunggal sehingga risk_label sesungguhnya merupakan fungsi deterministik dari zone_id. Konsekuensinya, tugas klasifikasi berubah menjadi persoalan identifikasi lokasi yang menyamar sebagai prediksi risiko. Hal itu dibuktikan melalui percobaan sederhana: model yang hanya diberi koordinat lintang dan bujur mencapai akurasi 0,9946. Model dengan dua belas fitur yang mencapai akurasi 0,72 sebenarnya sedang menebak lokasi secara tidak langsung melalui metrik gap, dmin, dan nst yang merupakan sidik jari geometri jaringan seismograf terhadap episenter.</w:t>
      </w:r>
    </w:p>
    <w:p>
      <w:pPr>
        <w:spacing w:after="120" w:line="276"/>
        <w:jc w:val="both"/>
      </w:pPr>
      <w:r>
        <w:rPr>
          <w:rFonts w:ascii="Times New Roman" w:cs="Times New Roman" w:eastAsia="Times New Roman" w:hAnsi="Times New Roman"/>
          <w:sz w:val="24"/>
          <w:szCs w:val="24"/>
        </w:rPr>
        <w:t xml:space="preserve">Cacat kedua adalah kebocoran temporal. Statistik zona dihitung melalui pengelompokan atas seluruh DataFrame sebelum pemisahan data latih dan data uji. Zona –7_129, misalnya, memiliki 447 kejadian pada periode latih hingga 2022, tetapi 706 kejadian pada keseluruhan data. Dengan demikian, label bagi kejadian tahun 2015 sudah memuat informasi dari tahun 2026 yang mustahil tersedia pada saat prediksi.</w:t>
      </w:r>
    </w:p>
    <w:p>
      <w:pPr>
        <w:pStyle w:val="Heading3"/>
        <w:spacing w:after="100" w:before="180"/>
      </w:pPr>
      <w:r>
        <w:rPr>
          <w:rFonts w:ascii="Times New Roman" w:cs="Times New Roman" w:eastAsia="Times New Roman" w:hAnsi="Times New Roman"/>
          <w:b/>
          <w:bCs/>
          <w:sz w:val="24"/>
          <w:szCs w:val="24"/>
        </w:rPr>
        <w:t xml:space="preserve">Rancangan Ketiga: Label Berbasis Jendela ke Depan</w:t>
      </w:r>
    </w:p>
    <w:p>
      <w:pPr>
        <w:spacing w:after="120" w:line="276"/>
        <w:jc w:val="both"/>
      </w:pPr>
      <w:r>
        <w:rPr>
          <w:rFonts w:ascii="Times New Roman" w:cs="Times New Roman" w:eastAsia="Times New Roman" w:hAnsi="Times New Roman"/>
          <w:sz w:val="24"/>
          <w:szCs w:val="24"/>
        </w:rPr>
        <w:t xml:space="preserve">Rancangan ketiga menyelesaikan kedua cacat tersebut dengan membalik arah jendela waktu. Label tidak lagi dihitung dari masa lalu atau dari keseluruhan periode, melainkan dari jendela sembilan puluh hari ke depan terhitung sejak kejadian berlangsung. Skor risiko dibentuk dari dua komponen dengan bobot sama, yaitu jumlah kejadian di zona yang sama pada jendela tersebut dan magnitudo maksimum yang tercatat pada jendela itu. Kedua komponen diubah menjadi peringkat persentil sebelum digabungkan.</w:t>
      </w:r>
    </w:p>
    <w:p>
      <w:pPr>
        <w:spacing w:after="120" w:line="276"/>
        <w:jc w:val="both"/>
      </w:pPr>
      <w:r>
        <w:rPr>
          <w:rFonts w:ascii="Times New Roman" w:cs="Times New Roman" w:eastAsia="Times New Roman" w:hAnsi="Times New Roman"/>
          <w:sz w:val="24"/>
          <w:szCs w:val="24"/>
        </w:rPr>
        <w:t xml:space="preserve">Ambang kelas ditetapkan pada persentil enam puluh dan delapan puluh lima yang dihitung hanya dari data latih sehingga sebaran data uji tidak ikut menentukan batas kelas. Kejadian yang tidak memiliki jendela sembilan puluh hari penuh, yaitu 330 kejadian di ujung rentang data, dikeluarkan dari proses pelatihan dan pengujian karena labelnya dihitung dari jendela yang terpotong.</w:t>
      </w:r>
    </w:p>
    <w:p>
      <w:pPr>
        <w:spacing w:after="120" w:line="276"/>
        <w:jc w:val="both"/>
      </w:pPr>
      <w:r>
        <w:rPr>
          <w:rFonts w:ascii="Times New Roman" w:cs="Times New Roman" w:eastAsia="Times New Roman" w:hAnsi="Times New Roman"/>
          <w:sz w:val="24"/>
          <w:szCs w:val="24"/>
        </w:rPr>
        <w:t xml:space="preserve">Dengan rancangan tersebut, seluruh fitur bersumber dari masa lalu atau saat kejadian berlangsung, sedangkan label bersumber dari masa depan yang belum diketahui pada saat prediksi. Struktur inilah yang membuat tugas menjadi prediksi dalam arti sebenarnya. Tabel 11 merangkum ketiga rancangan beserta cacat masing-masing.</w:t>
      </w:r>
    </w:p>
    <w:p>
      <w:pPr>
        <w:spacing w:after="160" w:before="80"/>
        <w:jc w:val="center"/>
      </w:pPr>
      <w:r>
        <w:rPr>
          <w:rFonts w:ascii="Times New Roman" w:cs="Times New Roman" w:eastAsia="Times New Roman" w:hAnsi="Times New Roman"/>
          <w:sz w:val="20"/>
          <w:szCs w:val="20"/>
        </w:rPr>
        <w:t xml:space="preserve">Tabel 11. Tiga Rancangan Label dan Cacat Metodologisnya</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2700"/>
        <w:gridCol w:w="2520"/>
      </w:tblGrid>
      <w:tr>
        <w:trPr>
          <w:tblHeader/>
        </w:trPr>
        <w:tc>
          <w:tcPr>
            <w:tcW w:type="dxa" w:w="13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8"/>
                <w:szCs w:val="18"/>
              </w:rPr>
              <w:t xml:space="preserve">Rancangan</w:t>
            </w:r>
          </w:p>
        </w:tc>
        <w:tc>
          <w:tcPr>
            <w:tcW w:type="dxa" w:w="25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8"/>
                <w:szCs w:val="18"/>
              </w:rPr>
              <w:t xml:space="preserve">Dasar Label</w:t>
            </w:r>
          </w:p>
        </w:tc>
        <w:tc>
          <w:tcPr>
            <w:tcW w:type="dxa" w:w="27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8"/>
                <w:szCs w:val="18"/>
              </w:rPr>
              <w:t xml:space="preserve">Cacat yang Ditemukan</w:t>
            </w:r>
          </w:p>
        </w:tc>
        <w:tc>
          <w:tcPr>
            <w:tcW w:type="dxa" w:w="252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8"/>
                <w:szCs w:val="18"/>
              </w:rPr>
              <w:t xml:space="preserve">Bukti Empiris</w:t>
            </w:r>
          </w:p>
        </w:tc>
      </w:tr>
      <w:tr>
        <w:tc>
          <w:tcPr>
            <w:tcW w:type="dxa" w:w="13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Pertama</w:t>
            </w:r>
          </w:p>
        </w:tc>
        <w:tc>
          <w:tcPr>
            <w:tcW w:type="dxa" w:w="2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Skor sig dari USGS dengan ambang persentil</w:t>
            </w:r>
          </w:p>
        </w:tc>
        <w:tc>
          <w:tcPr>
            <w:tcW w:type="dxa" w:w="2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Label berkorelasi kuat dengan fitur mag sehingga model menebak ulang masukannya sendiri</w:t>
            </w:r>
          </w:p>
        </w:tc>
        <w:tc>
          <w:tcPr>
            <w:tcW w:type="dxa" w:w="25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Korelasi sig dan mag sebesar 0,95; akurasi seluruh algoritme di atas 0,99</w:t>
            </w:r>
          </w:p>
        </w:tc>
      </w:tr>
      <w:tr>
        <w:tc>
          <w:tcPr>
            <w:tcW w:type="dxa" w:w="13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Kedua</w:t>
            </w:r>
          </w:p>
        </w:tc>
        <w:tc>
          <w:tcPr>
            <w:tcW w:type="dxa" w:w="2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Statistik zona atas seluruh periode data</w:t>
            </w:r>
          </w:p>
        </w:tc>
        <w:tc>
          <w:tcPr>
            <w:tcW w:type="dxa" w:w="2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Label tetap per zona sehingga tugas berubah menjadi identifikasi lokasi; statistik juga mencakup periode uji</w:t>
            </w:r>
          </w:p>
        </w:tc>
        <w:tc>
          <w:tcPr>
            <w:tcW w:type="dxa" w:w="25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Koordinat saja mencapai akurasi 0,9946; seluruh 430 zona berlabel tunggal; zona –7_129 tercatat 447 kejadian pada data latih, tetapi 706 pada keseluruhan data</w:t>
            </w:r>
          </w:p>
        </w:tc>
      </w:tr>
      <w:tr>
        <w:tc>
          <w:tcPr>
            <w:tcW w:type="dxa" w:w="13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Ketiga</w:t>
            </w:r>
          </w:p>
        </w:tc>
        <w:tc>
          <w:tcPr>
            <w:tcW w:type="dxa" w:w="2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Jumlah kejadian dan magnitudo maksimum pada jendela sembilan puluh hari ke depan</w:t>
            </w:r>
          </w:p>
        </w:tc>
        <w:tc>
          <w:tcPr>
            <w:tcW w:type="dxa" w:w="2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Tidak ditemukan kebocoran; sebagian zona berfrekuensi rendah tetap berlabel tunggal</w:t>
            </w:r>
          </w:p>
        </w:tc>
        <w:tc>
          <w:tcPr>
            <w:tcW w:type="dxa" w:w="25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Koordinat saja turun menjadi 0,6809; metrik jaringan seismograf turun di bawah garis dasar kelas mayoritas</w:t>
            </w:r>
          </w:p>
        </w:tc>
      </w:tr>
    </w:tbl>
    <w:p>
      <w:pPr>
        <w:pStyle w:val="Heading3"/>
        <w:spacing w:after="100" w:before="180"/>
      </w:pPr>
      <w:r>
        <w:rPr>
          <w:rFonts w:ascii="Times New Roman" w:cs="Times New Roman" w:eastAsia="Times New Roman" w:hAnsi="Times New Roman"/>
          <w:b/>
          <w:bCs/>
          <w:sz w:val="24"/>
          <w:szCs w:val="24"/>
        </w:rPr>
        <w:t xml:space="preserve">Uji Kebocoran sebagai Prosedur Verifikasi</w:t>
      </w:r>
    </w:p>
    <w:p>
      <w:pPr>
        <w:spacing w:after="120" w:line="276"/>
        <w:jc w:val="both"/>
      </w:pPr>
      <w:r>
        <w:rPr>
          <w:rFonts w:ascii="Times New Roman" w:cs="Times New Roman" w:eastAsia="Times New Roman" w:hAnsi="Times New Roman"/>
          <w:sz w:val="24"/>
          <w:szCs w:val="24"/>
        </w:rPr>
        <w:t xml:space="preserve">Agar cacat serupa tidak terulang, prosedur pemeriksaan kebocoran dilembagakan sebagai bagian tetap dari notebook. Prosedur tersebut membandingkan kinerja tiga model pembanding terhadap model utama. Model pertama adalah garis dasar yang selalu memprediksi kelas mayoritas. Model kedua hanya diberi koordinat lintang dan bujur. Model ketiga hanya diberi metrik mutu jaringan seismograf. Label dinyatakan sehat apabila kedua model pembanding terakhir tidak mampu mencapai akurasi yang mendekati model utama.</w:t>
      </w:r>
    </w:p>
    <w:p>
      <w:pPr>
        <w:spacing w:after="160" w:before="80"/>
        <w:jc w:val="center"/>
      </w:pPr>
      <w:r>
        <w:rPr>
          <w:rFonts w:ascii="Times New Roman" w:cs="Times New Roman" w:eastAsia="Times New Roman" w:hAnsi="Times New Roman"/>
          <w:sz w:val="20"/>
          <w:szCs w:val="20"/>
        </w:rPr>
        <w:t xml:space="preserve">Tabel 12. Hasil Uji Kebocoran Label</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3220"/>
      </w:tblGrid>
      <w:tr>
        <w:trPr>
          <w:tblHeader/>
        </w:trPr>
        <w:tc>
          <w:tcPr>
            <w:tcW w:type="dxa" w:w="26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9"/>
                <w:szCs w:val="19"/>
              </w:rPr>
              <w:t xml:space="preserve">Masukan Model</w:t>
            </w:r>
          </w:p>
        </w:tc>
        <w:tc>
          <w:tcPr>
            <w:tcW w:type="dxa" w:w="16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9"/>
                <w:szCs w:val="19"/>
              </w:rPr>
              <w:t xml:space="preserve">Akurasi</w:t>
            </w:r>
          </w:p>
        </w:tc>
        <w:tc>
          <w:tcPr>
            <w:tcW w:type="dxa" w:w="16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9"/>
                <w:szCs w:val="19"/>
              </w:rPr>
              <w:t xml:space="preserve">F1 Makro</w:t>
            </w:r>
          </w:p>
        </w:tc>
        <w:tc>
          <w:tcPr>
            <w:tcW w:type="dxa" w:w="322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9"/>
                <w:szCs w:val="19"/>
              </w:rPr>
              <w:t xml:space="preserve">Tafsiran</w:t>
            </w:r>
          </w:p>
        </w:tc>
      </w:tr>
      <w:tr>
        <w:tc>
          <w:tcPr>
            <w:tcW w:type="dxa" w:w="2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Garis dasar kelas mayoritas</w:t>
            </w:r>
          </w:p>
        </w:tc>
        <w:tc>
          <w:tcPr>
            <w:tcW w:type="dxa" w:w="16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9"/>
                <w:szCs w:val="19"/>
              </w:rPr>
              <w:t xml:space="preserve">0,5900</w:t>
            </w:r>
          </w:p>
        </w:tc>
        <w:tc>
          <w:tcPr>
            <w:tcW w:type="dxa" w:w="16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9"/>
                <w:szCs w:val="19"/>
              </w:rPr>
              <w:t xml:space="preserve">0,2474</w:t>
            </w:r>
          </w:p>
        </w:tc>
        <w:tc>
          <w:tcPr>
            <w:tcW w:type="dxa" w:w="32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Batas bawah yang harus dilampaui agar model dinyatakan bermanfaat</w:t>
            </w:r>
          </w:p>
        </w:tc>
      </w:tr>
      <w:tr>
        <w:tc>
          <w:tcPr>
            <w:tcW w:type="dxa" w:w="2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Hanya koordinat lintang dan bujur</w:t>
            </w:r>
          </w:p>
        </w:tc>
        <w:tc>
          <w:tcPr>
            <w:tcW w:type="dxa" w:w="16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9"/>
                <w:szCs w:val="19"/>
              </w:rPr>
              <w:t xml:space="preserve">0,6809</w:t>
            </w:r>
          </w:p>
        </w:tc>
        <w:tc>
          <w:tcPr>
            <w:tcW w:type="dxa" w:w="16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9"/>
                <w:szCs w:val="19"/>
              </w:rPr>
              <w:t xml:space="preserve">0,5341</w:t>
            </w:r>
          </w:p>
        </w:tc>
        <w:tc>
          <w:tcPr>
            <w:tcW w:type="dxa" w:w="32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Turun tajam dari 0,9946 pada rancangan kedua; geografi tetap informatif, tetapi tidak lagi menentukan label</w:t>
            </w:r>
          </w:p>
        </w:tc>
      </w:tr>
      <w:tr>
        <w:tc>
          <w:tcPr>
            <w:tcW w:type="dxa" w:w="2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Hanya metrik jaringan seismograf</w:t>
            </w:r>
          </w:p>
        </w:tc>
        <w:tc>
          <w:tcPr>
            <w:tcW w:type="dxa" w:w="16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9"/>
                <w:szCs w:val="19"/>
              </w:rPr>
              <w:t xml:space="preserve">0,5785</w:t>
            </w:r>
          </w:p>
        </w:tc>
        <w:tc>
          <w:tcPr>
            <w:tcW w:type="dxa" w:w="16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9"/>
                <w:szCs w:val="19"/>
              </w:rPr>
              <w:t xml:space="preserve">0,3081</w:t>
            </w:r>
          </w:p>
        </w:tc>
        <w:tc>
          <w:tcPr>
            <w:tcW w:type="dxa" w:w="32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Berada di bawah garis dasar sehingga jalur kebocoran melalui sidik jari lokasi terbukti tertutup</w:t>
            </w:r>
          </w:p>
        </w:tc>
      </w:tr>
      <w:tr>
        <w:tc>
          <w:tcPr>
            <w:tcW w:type="dxa" w:w="2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Seluruh dua belas fitur model</w:t>
            </w:r>
          </w:p>
        </w:tc>
        <w:tc>
          <w:tcPr>
            <w:tcW w:type="dxa" w:w="16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9"/>
                <w:szCs w:val="19"/>
              </w:rPr>
              <w:t xml:space="preserve">0,7179</w:t>
            </w:r>
          </w:p>
        </w:tc>
        <w:tc>
          <w:tcPr>
            <w:tcW w:type="dxa" w:w="16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9"/>
                <w:szCs w:val="19"/>
              </w:rPr>
              <w:t xml:space="preserve">0,6267</w:t>
            </w:r>
          </w:p>
        </w:tc>
        <w:tc>
          <w:tcPr>
            <w:tcW w:type="dxa" w:w="32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Unggul jauh atas garis dasar, menandakan model mempelajari pola yang sesungguhnya</w:t>
            </w:r>
          </w:p>
        </w:tc>
      </w:tr>
    </w:tbl>
    <w:p>
      <w:pPr>
        <w:spacing w:after="120" w:line="276"/>
        <w:jc w:val="both"/>
      </w:pPr>
      <w:r>
        <w:rPr>
          <w:rFonts w:ascii="Times New Roman" w:cs="Times New Roman" w:eastAsia="Times New Roman" w:hAnsi="Times New Roman"/>
          <w:sz w:val="24"/>
          <w:szCs w:val="24"/>
        </w:rPr>
        <w:t xml:space="preserve">Hasil pada Tabel 12 menunjukkan bahwa perbaikan berhasil. Model berbasis koordinat turun dari 0,9946 menjadi 0,6809, sedangkan model berbasis metrik jaringan seismograf turun hingga di bawah garis dasar kelas mayoritas. Angka terakhir merupakan bukti terkuat bahwa jalur kebocoran melalui sidik jari lokasi telah tertutup, sebab metrik yang semula menjadi perantara kebocoran kini tidak lagi memberikan keuntungan apa pun dibandingkan tebakan kelas mayoritas.</w:t>
      </w:r>
    </w:p>
    <w:p>
      <w:pPr>
        <w:spacing w:after="120" w:line="276"/>
        <w:jc w:val="both"/>
      </w:pPr>
      <w:r>
        <w:rPr>
          <w:rFonts w:ascii="Times New Roman" w:cs="Times New Roman" w:eastAsia="Times New Roman" w:hAnsi="Times New Roman"/>
          <w:sz w:val="24"/>
          <w:szCs w:val="24"/>
        </w:rPr>
        <w:t xml:space="preserve">Perlu dicatat bahwa akurasi model utama nyaris tidak berubah, yaitu 0,7212 pada rancangan kedua dan 0,7179 pada rancangan ketiga. Kesamaan angka tersebut berpotensi menyesatkan apabila dibaca tanpa konteks. Meskipun angkanya serupa, maknanya berbeda secara mendasar: angka pertama sebagian besar berasal dari kemampuan menebak lokasi, sedangkan angka kedua berasal dari kemampuan memprediksi tingkat aktivitas mendatang. Hal ini menegaskan bahwa metrik kinerja tidak dapat dinilai terlepas dari keabsahan definisi labelnya.</w:t>
      </w:r>
    </w:p>
    <w:p>
      <w:pPr>
        <w:pStyle w:val="Heading3"/>
        <w:spacing w:after="100" w:before="180"/>
      </w:pPr>
      <w:r>
        <w:rPr>
          <w:rFonts w:ascii="Times New Roman" w:cs="Times New Roman" w:eastAsia="Times New Roman" w:hAnsi="Times New Roman"/>
          <w:b/>
          <w:bCs/>
          <w:sz w:val="24"/>
          <w:szCs w:val="24"/>
        </w:rPr>
        <w:t xml:space="preserve">Sebaran Kelas dan Daftar Fitur</w:t>
      </w:r>
    </w:p>
    <w:p>
      <w:pPr>
        <w:spacing w:after="120" w:line="276"/>
        <w:jc w:val="both"/>
      </w:pPr>
      <w:r>
        <w:rPr>
          <w:rFonts w:ascii="Times New Roman" w:cs="Times New Roman" w:eastAsia="Times New Roman" w:hAnsi="Times New Roman"/>
          <w:sz w:val="24"/>
          <w:szCs w:val="24"/>
        </w:rPr>
        <w:t xml:space="preserve">Setelah label diperbaiki, sebanyak 192 dari 430 zona memiliki label yang bervariasi menurut waktu. Sebanyak 238 zona sisanya tetap berlabel tunggal karena merupakan zona berfrekuensi rendah dengan median hanya lima kejadian sepanjang sebelas tahun sehingga tidak memiliki variasi aktivitas yang cukup untuk membentuk perbedaan kelas. Keterbatasan tersebut bersifat melekat pada data dan dicatat sebagai batasan penelitian.</w:t>
      </w:r>
    </w:p>
    <w:p>
      <w:pPr>
        <w:spacing w:after="160" w:before="80"/>
        <w:jc w:val="center"/>
      </w:pPr>
      <w:r>
        <w:rPr>
          <w:rFonts w:ascii="Times New Roman" w:cs="Times New Roman" w:eastAsia="Times New Roman" w:hAnsi="Times New Roman"/>
          <w:sz w:val="20"/>
          <w:szCs w:val="20"/>
        </w:rPr>
        <w:t xml:space="preserve">Tabel 13. Distribusi Kelas Label Risiko</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0"/>
      </w:tblGrid>
      <w:tr>
        <w:trPr>
          <w:tblHeader/>
        </w:trPr>
        <w:tc>
          <w:tcPr>
            <w:tcW w:type="dxa" w:w="24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Kelas</w:t>
            </w:r>
          </w:p>
        </w:tc>
        <w:tc>
          <w:tcPr>
            <w:tcW w:type="dxa" w:w="22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Jumlah Keseluruhan</w:t>
            </w:r>
          </w:p>
        </w:tc>
        <w:tc>
          <w:tcPr>
            <w:tcW w:type="dxa" w:w="22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Proporsi</w:t>
            </w:r>
          </w:p>
        </w:tc>
        <w:tc>
          <w:tcPr>
            <w:tcW w:type="dxa" w:w="222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Jumlah pada Data Uji</w:t>
            </w:r>
          </w:p>
        </w:tc>
      </w:tr>
      <w:tr>
        <w:tc>
          <w:tcPr>
            <w:tcW w:type="dxa" w:w="2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Rendah</w:t>
            </w:r>
          </w:p>
        </w:tc>
        <w:tc>
          <w:tcPr>
            <w:tcW w:type="dxa" w:w="22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11.494</w:t>
            </w:r>
          </w:p>
        </w:tc>
        <w:tc>
          <w:tcPr>
            <w:tcW w:type="dxa" w:w="22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59,65 persen</w:t>
            </w:r>
          </w:p>
        </w:tc>
        <w:tc>
          <w:tcPr>
            <w:tcW w:type="dxa" w:w="222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3.280</w:t>
            </w:r>
          </w:p>
        </w:tc>
      </w:tr>
      <w:tr>
        <w:tc>
          <w:tcPr>
            <w:tcW w:type="dxa" w:w="2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Sedang</w:t>
            </w:r>
          </w:p>
        </w:tc>
        <w:tc>
          <w:tcPr>
            <w:tcW w:type="dxa" w:w="22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4.763</w:t>
            </w:r>
          </w:p>
        </w:tc>
        <w:tc>
          <w:tcPr>
            <w:tcW w:type="dxa" w:w="22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24,72 persen</w:t>
            </w:r>
          </w:p>
        </w:tc>
        <w:tc>
          <w:tcPr>
            <w:tcW w:type="dxa" w:w="222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1.331</w:t>
            </w:r>
          </w:p>
        </w:tc>
      </w:tr>
      <w:tr>
        <w:tc>
          <w:tcPr>
            <w:tcW w:type="dxa" w:w="2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Tinggi</w:t>
            </w:r>
          </w:p>
        </w:tc>
        <w:tc>
          <w:tcPr>
            <w:tcW w:type="dxa" w:w="22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3.009</w:t>
            </w:r>
          </w:p>
        </w:tc>
        <w:tc>
          <w:tcPr>
            <w:tcW w:type="dxa" w:w="22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15,63 persen</w:t>
            </w:r>
          </w:p>
        </w:tc>
        <w:tc>
          <w:tcPr>
            <w:tcW w:type="dxa" w:w="222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948</w:t>
            </w:r>
          </w:p>
        </w:tc>
      </w:tr>
      <w:tr>
        <w:tc>
          <w:tcPr>
            <w:tcW w:type="dxa" w:w="2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Total</w:t>
            </w:r>
          </w:p>
        </w:tc>
        <w:tc>
          <w:tcPr>
            <w:tcW w:type="dxa" w:w="22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19.266</w:t>
            </w:r>
          </w:p>
        </w:tc>
        <w:tc>
          <w:tcPr>
            <w:tcW w:type="dxa" w:w="22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100 persen</w:t>
            </w:r>
          </w:p>
        </w:tc>
        <w:tc>
          <w:tcPr>
            <w:tcW w:type="dxa" w:w="222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5.559</w:t>
            </w:r>
          </w:p>
        </w:tc>
      </w:tr>
    </w:tbl>
    <w:p>
      <w:pPr>
        <w:spacing w:after="120" w:line="276"/>
        <w:jc w:val="both"/>
      </w:pPr>
      <w:r>
        <w:rPr>
          <w:rFonts w:ascii="Times New Roman" w:cs="Times New Roman" w:eastAsia="Times New Roman" w:hAnsi="Times New Roman"/>
          <w:sz w:val="24"/>
          <w:szCs w:val="24"/>
        </w:rPr>
        <w:t xml:space="preserve">Sebaran kelas bersifat tidak seimbang dengan kelas rendah mendominasi hampir enam puluh persen data. Ketidakseimbangan tersebut merupakan konsekuensi langsung penetapan ambang persentil, bukan keganjilan. Implikasinya terhadap evaluasi adalah metrik akurasi menjadi kurang informatif karena model yang selalu memprediksi kelas rendah sudah mencapai akurasi 0,5900 tanpa kemampuan membedakan sama sekali. Oleh karena itu, metrik F1 makro yang memberikan bobot setara pada setiap kelas dipakai sebagai metrik utama.</w:t>
      </w:r>
    </w:p>
    <w:p>
      <w:pPr>
        <w:spacing w:after="160" w:before="80"/>
        <w:jc w:val="center"/>
      </w:pPr>
      <w:r>
        <w:rPr>
          <w:rFonts w:ascii="Times New Roman" w:cs="Times New Roman" w:eastAsia="Times New Roman" w:hAnsi="Times New Roman"/>
          <w:sz w:val="20"/>
          <w:szCs w:val="20"/>
        </w:rPr>
        <w:t xml:space="preserve">Tabel 14. Daftar Fitur Model dan Justifikasinya</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5320"/>
      </w:tblGrid>
      <w:tr>
        <w:trPr>
          <w:tblHeader/>
        </w:trPr>
        <w:tc>
          <w:tcPr>
            <w:tcW w:type="dxa" w:w="21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9"/>
                <w:szCs w:val="19"/>
              </w:rPr>
              <w:t xml:space="preserve">Fitur</w:t>
            </w:r>
          </w:p>
        </w:tc>
        <w:tc>
          <w:tcPr>
            <w:tcW w:type="dxa" w:w="16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9"/>
                <w:szCs w:val="19"/>
              </w:rPr>
              <w:t xml:space="preserve">Jenis</w:t>
            </w:r>
          </w:p>
        </w:tc>
        <w:tc>
          <w:tcPr>
            <w:tcW w:type="dxa" w:w="532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9"/>
                <w:szCs w:val="19"/>
              </w:rPr>
              <w:t xml:space="preserve">Justifikasi Pemilihan</w:t>
            </w:r>
          </w:p>
        </w:tc>
      </w:tr>
      <w:tr>
        <w:tc>
          <w:tcPr>
            <w:tcW w:type="dxa" w:w="2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mag</w:t>
            </w:r>
          </w:p>
        </w:tc>
        <w:tc>
          <w:tcPr>
            <w:tcW w:type="dxa" w:w="1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Numerik</w:t>
            </w:r>
          </w:p>
        </w:tc>
        <w:tc>
          <w:tcPr>
            <w:tcW w:type="dxa" w:w="53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Magnitudo kejadian saat ini; tersedia pada saat prediksi dan menjadi penanda tingkat pelepasan energi terkini</w:t>
            </w:r>
          </w:p>
        </w:tc>
      </w:tr>
      <w:tr>
        <w:tc>
          <w:tcPr>
            <w:tcW w:type="dxa" w:w="2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depth_km</w:t>
            </w:r>
          </w:p>
        </w:tc>
        <w:tc>
          <w:tcPr>
            <w:tcW w:type="dxa" w:w="1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Numerik</w:t>
            </w:r>
          </w:p>
        </w:tc>
        <w:tc>
          <w:tcPr>
            <w:tcW w:type="dxa" w:w="53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Kedalaman hiposenter menentukan intensitas guncangan permukaan</w:t>
            </w:r>
          </w:p>
        </w:tc>
      </w:tr>
      <w:tr>
        <w:tc>
          <w:tcPr>
            <w:tcW w:type="dxa" w:w="2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gap</w:t>
            </w:r>
          </w:p>
        </w:tc>
        <w:tc>
          <w:tcPr>
            <w:tcW w:type="dxa" w:w="1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Numerik</w:t>
            </w:r>
          </w:p>
        </w:tc>
        <w:tc>
          <w:tcPr>
            <w:tcW w:type="dxa" w:w="53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Celah azimut jaringan pengamat; nilai kecil menandakan kerapatan pemantauan tinggi</w:t>
            </w:r>
          </w:p>
        </w:tc>
      </w:tr>
      <w:tr>
        <w:tc>
          <w:tcPr>
            <w:tcW w:type="dxa" w:w="2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dmin</w:t>
            </w:r>
          </w:p>
        </w:tc>
        <w:tc>
          <w:tcPr>
            <w:tcW w:type="dxa" w:w="1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Numerik</w:t>
            </w:r>
          </w:p>
        </w:tc>
        <w:tc>
          <w:tcPr>
            <w:tcW w:type="dxa" w:w="53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Jarak ke stasiun terdekat; mencerminkan kedekatan infrastruktur pemantauan</w:t>
            </w:r>
          </w:p>
        </w:tc>
      </w:tr>
      <w:tr>
        <w:tc>
          <w:tcPr>
            <w:tcW w:type="dxa" w:w="2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rms</w:t>
            </w:r>
          </w:p>
        </w:tc>
        <w:tc>
          <w:tcPr>
            <w:tcW w:type="dxa" w:w="1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Numerik</w:t>
            </w:r>
          </w:p>
        </w:tc>
        <w:tc>
          <w:tcPr>
            <w:tcW w:type="dxa" w:w="53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Akar rerata kuadrat residual penentuan lokasi; indikator mutu solusi hiposenter</w:t>
            </w:r>
          </w:p>
        </w:tc>
      </w:tr>
      <w:tr>
        <w:tc>
          <w:tcPr>
            <w:tcW w:type="dxa" w:w="2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nst</w:t>
            </w:r>
          </w:p>
        </w:tc>
        <w:tc>
          <w:tcPr>
            <w:tcW w:type="dxa" w:w="1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Numerik</w:t>
            </w:r>
          </w:p>
        </w:tc>
        <w:tc>
          <w:tcPr>
            <w:tcW w:type="dxa" w:w="53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Jumlah stasiun yang berkontribusi; proksi intensitas pemantauan wilayah</w:t>
            </w:r>
          </w:p>
        </w:tc>
      </w:tr>
      <w:tr>
        <w:tc>
          <w:tcPr>
            <w:tcW w:type="dxa" w:w="2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energy</w:t>
            </w:r>
          </w:p>
        </w:tc>
        <w:tc>
          <w:tcPr>
            <w:tcW w:type="dxa" w:w="1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Numerik</w:t>
            </w:r>
          </w:p>
        </w:tc>
        <w:tc>
          <w:tcPr>
            <w:tcW w:type="dxa" w:w="53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Energi seismik hasil perhitungan logaritmik dari magnitudo; representasi fisik pelepasan energi</w:t>
            </w:r>
          </w:p>
        </w:tc>
      </w:tr>
      <w:tr>
        <w:tc>
          <w:tcPr>
            <w:tcW w:type="dxa" w:w="2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shallow_flag</w:t>
            </w:r>
          </w:p>
        </w:tc>
        <w:tc>
          <w:tcPr>
            <w:tcW w:type="dxa" w:w="1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Biner</w:t>
            </w:r>
          </w:p>
        </w:tc>
        <w:tc>
          <w:tcPr>
            <w:tcW w:type="dxa" w:w="53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Penanda gempa dangkal; gempa dangkal berdampak lebih besar pada magnitudo setara</w:t>
            </w:r>
          </w:p>
        </w:tc>
      </w:tr>
      <w:tr>
        <w:tc>
          <w:tcPr>
            <w:tcW w:type="dxa" w:w="2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event_count_7d</w:t>
            </w:r>
          </w:p>
        </w:tc>
        <w:tc>
          <w:tcPr>
            <w:tcW w:type="dxa" w:w="1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Numerik</w:t>
            </w:r>
          </w:p>
        </w:tc>
        <w:tc>
          <w:tcPr>
            <w:tcW w:type="dxa" w:w="53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Jumlah kejadian di zona sama dalam tujuh hari sebelumnya; indikator lonjakan aktivitas jangka pendek</w:t>
            </w:r>
          </w:p>
        </w:tc>
      </w:tr>
      <w:tr>
        <w:tc>
          <w:tcPr>
            <w:tcW w:type="dxa" w:w="2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event_count_30d</w:t>
            </w:r>
          </w:p>
        </w:tc>
        <w:tc>
          <w:tcPr>
            <w:tcW w:type="dxa" w:w="1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Numerik</w:t>
            </w:r>
          </w:p>
        </w:tc>
        <w:tc>
          <w:tcPr>
            <w:tcW w:type="dxa" w:w="53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Jumlah kejadian di zona sama dalam tiga puluh hari sebelumnya; indikator tingkat aktivitas dasar</w:t>
            </w:r>
          </w:p>
        </w:tc>
      </w:tr>
      <w:tr>
        <w:tc>
          <w:tcPr>
            <w:tcW w:type="dxa" w:w="2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days_since_last_event</w:t>
            </w:r>
          </w:p>
        </w:tc>
        <w:tc>
          <w:tcPr>
            <w:tcW w:type="dxa" w:w="1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Numerik</w:t>
            </w:r>
          </w:p>
        </w:tc>
        <w:tc>
          <w:tcPr>
            <w:tcW w:type="dxa" w:w="53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Selang waktu sejak kejadian terakhir di zona sama; indikator keteraturan aktivitas</w:t>
            </w:r>
          </w:p>
        </w:tc>
      </w:tr>
      <w:tr>
        <w:tc>
          <w:tcPr>
            <w:tcW w:type="dxa" w:w="2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tsunami</w:t>
            </w:r>
          </w:p>
        </w:tc>
        <w:tc>
          <w:tcPr>
            <w:tcW w:type="dxa" w:w="1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Biner</w:t>
            </w:r>
          </w:p>
        </w:tc>
        <w:tc>
          <w:tcPr>
            <w:tcW w:type="dxa" w:w="53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Indikator potensi tsunami dari sumber; menandai kejadian dengan karakteristik khusus</w:t>
            </w:r>
          </w:p>
        </w:tc>
      </w:tr>
      <w:tr>
        <w:tc>
          <w:tcPr>
            <w:tcW w:type="dxa" w:w="2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mag_type</w:t>
            </w:r>
          </w:p>
        </w:tc>
        <w:tc>
          <w:tcPr>
            <w:tcW w:type="dxa" w:w="1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Kategorikal</w:t>
            </w:r>
          </w:p>
        </w:tc>
        <w:tc>
          <w:tcPr>
            <w:tcW w:type="dxa" w:w="53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9"/>
                <w:szCs w:val="19"/>
              </w:rPr>
              <w:t xml:space="preserve">Skala magnitudo yang digunakan; skala berbeda memiliki karakteristik pengukuran berbeda</w:t>
            </w:r>
          </w:p>
        </w:tc>
      </w:tr>
    </w:tbl>
    <w:p>
      <w:pPr>
        <w:spacing w:after="120" w:line="276"/>
        <w:jc w:val="both"/>
      </w:pPr>
      <w:r>
        <w:rPr>
          <w:rFonts w:ascii="Times New Roman" w:cs="Times New Roman" w:eastAsia="Times New Roman" w:hAnsi="Times New Roman"/>
          <w:sz w:val="24"/>
          <w:szCs w:val="24"/>
        </w:rPr>
        <w:t xml:space="preserve">Perlu dicatat bahwa fitur mag, shallow_flag, dan event_count_30d dikembalikan sebagai masukan model pada rancangan ketiga, padahal ketiganya dikeluarkan pada rancangan kedua. Perubahan tersebut bukan kelonggaran, melainkan konsekuensi logis dari perubahan definisi label. Pada rancangan kedua ketiganya merupakan komponen langsung pembentuk skor risiko sehingga penggunaannya menimbulkan kebocoran. Pada rancangan ketiga label dihitung dari jendela ke depan sehingga ketiga atribut tersebut merupakan informasi yang memang tersedia pada saat prediksi dilakukan dan sah dipakai.</w:t>
      </w:r>
    </w:p>
    <w:p>
      <w:pPr>
        <w:spacing w:after="120" w:line="276"/>
        <w:jc w:val="both"/>
      </w:pPr>
      <w:r>
        <w:rPr>
          <w:rFonts w:ascii="Times New Roman" w:cs="Times New Roman" w:eastAsia="Times New Roman" w:hAnsi="Times New Roman"/>
          <w:sz w:val="24"/>
          <w:szCs w:val="24"/>
        </w:rPr>
        <w:t xml:space="preserve">Sebaliknya, kolom sig tetap dikecualikan dari daftar fitur meskipun tersedia. Alasannya, sebagian komponen penyusun sig berasal dari laporan masyarakat yang baru terkumpul setelah kejadian berlangsung sehingga nilainya belum tentu tersedia pada saat prediksi perlu dilakukan. Pengecualian tersebut menjaga agar model tetap dapat diterapkan pada kondisi operasional nyata.</w:t>
      </w:r>
    </w:p>
    <w:p>
      <w:pPr>
        <w:spacing w:after="120" w:line="276"/>
        <w:jc w:val="both"/>
      </w:pPr>
      <w:r>
        <w:rPr>
          <w:rFonts w:ascii="Times New Roman" w:cs="Times New Roman" w:eastAsia="Times New Roman" w:hAnsi="Times New Roman"/>
          <w:sz w:val="24"/>
          <w:szCs w:val="24"/>
        </w:rPr>
        <w:t xml:space="preserve">Perhitungan fitur temporal dilakukan dengan pendekatan jendela geser yang hanya mempertimbangkan kejadian sebelum waktu kejadian bersangkutan. Pembatasan itu penting untuk mencegah kebocoran temporal pada sisi fitur. Verifikasi kinerja menunjukkan perhitungan untuk 19.266 baris memerlukan waktu sekitar sepuluh detik sehingga pendekatan jendela geser berhasil menghindari kerumitan kuadratik.</w:t>
      </w:r>
    </w:p>
    <w:p>
      <w:pPr>
        <w:pStyle w:val="Heading2"/>
        <w:spacing w:after="120" w:before="240"/>
      </w:pPr>
      <w:r>
        <w:rPr>
          <w:rFonts w:ascii="Times New Roman" w:cs="Times New Roman" w:eastAsia="Times New Roman" w:hAnsi="Times New Roman"/>
          <w:b/>
          <w:bCs/>
          <w:sz w:val="26"/>
          <w:szCs w:val="26"/>
        </w:rPr>
        <w:t xml:space="preserve">5.3  Algoritma Machine Learning</w:t>
      </w:r>
    </w:p>
    <w:p>
      <w:pPr>
        <w:spacing w:after="120" w:line="276"/>
        <w:jc w:val="both"/>
      </w:pPr>
      <w:r>
        <w:rPr>
          <w:rFonts w:ascii="Times New Roman" w:cs="Times New Roman" w:eastAsia="Times New Roman" w:hAnsi="Times New Roman"/>
          <w:sz w:val="24"/>
          <w:szCs w:val="24"/>
        </w:rPr>
        <w:t xml:space="preserve">Tiga algoritme dipilih untuk dibandingkan; masing-masing mewakili pendekatan pemodelan yang berbeda.</w:t>
      </w:r>
    </w:p>
    <w:p>
      <w:pPr>
        <w:spacing w:after="120" w:line="276"/>
        <w:jc w:val="both"/>
      </w:pPr>
      <w:r>
        <w:rPr>
          <w:rFonts w:ascii="Times New Roman" w:cs="Times New Roman" w:eastAsia="Times New Roman" w:hAnsi="Times New Roman"/>
          <w:sz w:val="24"/>
          <w:szCs w:val="24"/>
        </w:rPr>
        <w:t xml:space="preserve">Logistic Regression dipilih sebagai model dasar pembanding. Algoritme ini membentuk batas keputusan linear pada ruang fitur sehingga kinerjanya menjadi acuan untuk menilai apakah permasalahan yang dihadapi bersifat linear atau memerlukan pemodelan nonlinear. Apabila algoritme yang lebih rumit tidak mengungguli model dasar secara berarti, hal itu menandakan bahwa kerumitan tambahan tidak memberikan nilai.</w:t>
      </w:r>
    </w:p>
    <w:p>
      <w:pPr>
        <w:spacing w:after="120" w:line="276"/>
        <w:jc w:val="both"/>
      </w:pPr>
      <w:r>
        <w:rPr>
          <w:rFonts w:ascii="Times New Roman" w:cs="Times New Roman" w:eastAsia="Times New Roman" w:hAnsi="Times New Roman"/>
          <w:sz w:val="24"/>
          <w:szCs w:val="24"/>
        </w:rPr>
        <w:t xml:space="preserve">Random Forest dipilih sebagai wakil metode ansambel berbasis penggabungan bootstrap. Algoritme ini membangun sejumlah pohon keputusan dari sebagian data dan fitur yang berbeda, lalu menggabungkan prediksi melalui pemungutan suara mayoritas. Keunggulannya terletak pada ketahanan terhadap pencilan dan kemampuan menangkap interaksi antarfitur tanpa spesifikasi eksplisit. Algoritme ini juga tersedia pada Spark MLlib sehingga memungkinkan perbandingan langsung antara implementasi terdistribusi dan tidak terdistribusi.</w:t>
      </w:r>
    </w:p>
    <w:p>
      <w:pPr>
        <w:spacing w:after="120" w:line="276"/>
        <w:jc w:val="both"/>
      </w:pPr>
      <w:r>
        <w:rPr>
          <w:rFonts w:ascii="Times New Roman" w:cs="Times New Roman" w:eastAsia="Times New Roman" w:hAnsi="Times New Roman"/>
          <w:sz w:val="24"/>
          <w:szCs w:val="24"/>
        </w:rPr>
        <w:t xml:space="preserve">Gradient Boosting dipilih sebagai wakil metode ansambel berbasis peningkatan bertahap. Berbeda dengan Random Forest yang membangun pohon secara paralel dan saling bebas, Gradient Boosting membangun pohon secara berurutan: setiap pohon berupaya memperbaiki kesalahan pohon sebelumnya. Pendekatan tersebut umumnya menghasilkan akurasi lebih tinggi, tetapi dengan waktu pelatihan lebih lama dan kerentanan lebih besar terhadap pemasangan berlebih.</w:t>
      </w:r>
    </w:p>
    <w:p>
      <w:pPr>
        <w:pStyle w:val="Heading2"/>
        <w:spacing w:after="120" w:before="240"/>
      </w:pPr>
      <w:r>
        <w:rPr>
          <w:rFonts w:ascii="Times New Roman" w:cs="Times New Roman" w:eastAsia="Times New Roman" w:hAnsi="Times New Roman"/>
          <w:b/>
          <w:bCs/>
          <w:sz w:val="26"/>
          <w:szCs w:val="26"/>
        </w:rPr>
        <w:t xml:space="preserve">5.4  Proses Pengembangan Model dengan dan tanpa Spark MLlib</w:t>
      </w:r>
    </w:p>
    <w:p>
      <w:pPr>
        <w:spacing w:after="120" w:line="276"/>
        <w:jc w:val="both"/>
      </w:pPr>
      <w:r>
        <w:rPr>
          <w:rFonts w:ascii="Times New Roman" w:cs="Times New Roman" w:eastAsia="Times New Roman" w:hAnsi="Times New Roman"/>
          <w:sz w:val="24"/>
          <w:szCs w:val="24"/>
        </w:rPr>
        <w:t xml:space="preserve">Pengembangan model dilakukan dalam dua jalur sejajar, yaitu scikit-learn sebagai wakil pendekatan tidak terdistribusi dan Spark MLlib sebagai wakil pendekatan terdistribusi. Agar perbandingan bermakna, kedua jalur memakai definisi label, himpunan fitur, dan pemisahan data yang identik.</w:t>
      </w:r>
    </w:p>
    <w:p>
      <w:pPr>
        <w:pStyle w:val="Heading3"/>
        <w:spacing w:after="100" w:before="180"/>
      </w:pPr>
      <w:r>
        <w:rPr>
          <w:rFonts w:ascii="Times New Roman" w:cs="Times New Roman" w:eastAsia="Times New Roman" w:hAnsi="Times New Roman"/>
          <w:b/>
          <w:bCs/>
          <w:sz w:val="24"/>
          <w:szCs w:val="24"/>
        </w:rPr>
        <w:t xml:space="preserve">Strategi Pemisahan Data</w:t>
      </w:r>
    </w:p>
    <w:p>
      <w:pPr>
        <w:spacing w:after="120" w:line="276"/>
        <w:jc w:val="both"/>
      </w:pPr>
      <w:r>
        <w:rPr>
          <w:rFonts w:ascii="Times New Roman" w:cs="Times New Roman" w:eastAsia="Times New Roman" w:hAnsi="Times New Roman"/>
          <w:sz w:val="24"/>
          <w:szCs w:val="24"/>
        </w:rPr>
        <w:t xml:space="preserve">Pemisahan data latih dan data uji dilakukan berdasarkan dimensi waktu, bukan secara acak. Data tahun 2015 hingga 2022 sebanyak 13.377 rekaman dipakai untuk pelatihan, sedangkan data tahun 2023 hingga 2026 sebanyak 5.559 rekaman dipakai untuk pengujian. Keputusan tersebut berpijak pada sifat data yang merupakan deret waktu.</w:t>
      </w:r>
    </w:p>
    <w:p>
      <w:pPr>
        <w:spacing w:after="120" w:line="276"/>
        <w:jc w:val="both"/>
      </w:pPr>
      <w:r>
        <w:rPr>
          <w:rFonts w:ascii="Times New Roman" w:cs="Times New Roman" w:eastAsia="Times New Roman" w:hAnsi="Times New Roman"/>
          <w:sz w:val="24"/>
          <w:szCs w:val="24"/>
        </w:rPr>
        <w:t xml:space="preserve">Pemisahan acak pada data deret waktu akan menimbulkan kebocoran temporal karena model dapat mempelajari pola dari kejadian tahun 2025 untuk memprediksi kejadian tahun 2016. Keadaan demikian tidak mewakili kondisi penggunaan nyata, yaitu model harus memprediksi kejadian mendatang berdasarkan data masa lalu. Pemisahan temporal menghasilkan estimasi kinerja yang lebih konservatif, tetapi lebih realistis.</w:t>
      </w:r>
    </w:p>
    <w:p>
      <w:pPr>
        <w:pStyle w:val="Heading3"/>
        <w:spacing w:after="100" w:before="180"/>
      </w:pPr>
      <w:r>
        <w:rPr>
          <w:rFonts w:ascii="Times New Roman" w:cs="Times New Roman" w:eastAsia="Times New Roman" w:hAnsi="Times New Roman"/>
          <w:b/>
          <w:bCs/>
          <w:sz w:val="24"/>
          <w:szCs w:val="24"/>
        </w:rPr>
        <w:t xml:space="preserve">Implementasi tanpa Spark MLlib</w:t>
      </w:r>
    </w:p>
    <w:p>
      <w:pPr>
        <w:spacing w:after="120" w:line="276"/>
        <w:jc w:val="both"/>
      </w:pPr>
      <w:r>
        <w:rPr>
          <w:rFonts w:ascii="Times New Roman" w:cs="Times New Roman" w:eastAsia="Times New Roman" w:hAnsi="Times New Roman"/>
          <w:sz w:val="24"/>
          <w:szCs w:val="24"/>
        </w:rPr>
        <w:t xml:space="preserve">Implementasi dengan scikit-learn memanfaatkan konstruksi Pipeline yang merangkai tahap praproses dan tahap klasifikasi menjadi satu objek. Praproses terdiri atas standardisasi untuk fitur numerik dan penyandian satu-panas untuk fitur kategorikal yang dirangkai melalui ColumnTransformer. Perangkaian tersebut memastikan parameter standardisasi dan kategori penyandian hanya dipelajari dari data latih.</w:t>
      </w:r>
    </w:p>
    <w:p>
      <w:pPr>
        <w:spacing w:after="120" w:line="276"/>
        <w:jc w:val="both"/>
      </w:pPr>
      <w:r>
        <w:rPr>
          <w:rFonts w:ascii="Times New Roman" w:cs="Times New Roman" w:eastAsia="Times New Roman" w:hAnsi="Times New Roman"/>
          <w:sz w:val="24"/>
          <w:szCs w:val="24"/>
        </w:rPr>
        <w:t xml:space="preserve">Ketiga algoritme dilatih dengan konfigurasi setara. Random Forest dikonfigurasi dengan dua ratus pohon dan kedalaman maksimum dua belas, sedangkan Gradient Boosting memakai konfigurasi bawaan. Waktu pelatihan dicatat untuk setiap model sebagai bahan perbandingan.</w:t>
      </w:r>
    </w:p>
    <w:p>
      <w:pPr>
        <w:pStyle w:val="Heading3"/>
        <w:spacing w:after="100" w:before="180"/>
      </w:pPr>
      <w:r>
        <w:rPr>
          <w:rFonts w:ascii="Times New Roman" w:cs="Times New Roman" w:eastAsia="Times New Roman" w:hAnsi="Times New Roman"/>
          <w:b/>
          <w:bCs/>
          <w:sz w:val="24"/>
          <w:szCs w:val="24"/>
        </w:rPr>
        <w:t xml:space="preserve">Implementasi dengan Spark MLlib</w:t>
      </w:r>
    </w:p>
    <w:p>
      <w:pPr>
        <w:spacing w:after="120" w:line="276"/>
        <w:jc w:val="both"/>
      </w:pPr>
      <w:r>
        <w:rPr>
          <w:rFonts w:ascii="Times New Roman" w:cs="Times New Roman" w:eastAsia="Times New Roman" w:hAnsi="Times New Roman"/>
          <w:sz w:val="24"/>
          <w:szCs w:val="24"/>
        </w:rPr>
        <w:t xml:space="preserve">Implementasi dengan Spark MLlib dilakukan pada lingkungan Google Colab dengan konfigurasi mode lokal dan alokasi memori driver sebesar delapan gigabita. Pemilihan lingkungan tersebut didasarkan pada ketersediaan Java Runtime Environment yang menjadi prasyarat Spark.</w:t>
      </w:r>
    </w:p>
    <w:p>
      <w:pPr>
        <w:spacing w:after="120" w:line="276"/>
        <w:jc w:val="both"/>
      </w:pPr>
      <w:r>
        <w:rPr>
          <w:rFonts w:ascii="Times New Roman" w:cs="Times New Roman" w:eastAsia="Times New Roman" w:hAnsi="Times New Roman"/>
          <w:sz w:val="24"/>
          <w:szCs w:val="24"/>
        </w:rPr>
        <w:t xml:space="preserve">Pipeline Spark disusun atas tujuh tahap berurutan, yaitu pengindeksan label, pengindeksan fitur kategorikal, penyandian satu-panas, perakitan vektor fitur numerik, standardisasi, perakitan vektor akhir, dan klasifikasi Random Forest. Untuk menjamin kesetaraan perbandingan, perhitungan label dan fitur tidak ditulis ulang dalam Spark, melainkan memakai fungsi yang sama dengan implementasi scikit-learn; konversi ke Spark DataFrame dilakukan setelah fitur siap.</w:t>
      </w:r>
    </w:p>
    <w:p>
      <w:pPr>
        <w:spacing w:after="120" w:line="276"/>
        <w:jc w:val="both"/>
      </w:pPr>
      <w:r>
        <w:rPr>
          <w:rFonts w:ascii="Times New Roman" w:cs="Times New Roman" w:eastAsia="Times New Roman" w:hAnsi="Times New Roman"/>
          <w:sz w:val="24"/>
          <w:szCs w:val="24"/>
        </w:rPr>
        <w:t xml:space="preserve">Optimasi hiperparameter dilakukan dengan CrossValidator melalui validasi silang tiga lipatan atas kisi parameter yang mencakup jumlah pohon seratus dan dua ratus serta kedalaman maksimum delapan dan dua belas. Konfigurasi terbaik yang diperoleh adalah dua ratus pohon dengan kedalaman dua belas, sama dengan konfigurasi yang ditetapkan secara manual pada implementasi scikit-learn.</w:t>
      </w:r>
    </w:p>
    <w:p>
      <w:pPr>
        <w:spacing w:after="120" w:line="276"/>
        <w:jc w:val="both"/>
      </w:pPr>
      <w:r>
        <w:rPr>
          <w:rFonts w:ascii="Times New Roman" w:cs="Times New Roman" w:eastAsia="Times New Roman" w:hAnsi="Times New Roman"/>
          <w:sz w:val="24"/>
          <w:szCs w:val="24"/>
        </w:rPr>
        <w:t xml:space="preserve">Satu perbedaan teknis yang perlu dicatat adalah penanganan indeks kelas. StringIndexer pada Spark mengurutkan kelas berdasarkan frekuensi kemunculan, bukan berdasarkan urutan abjad atau semantik. Pemetaan yang dihasilkan adalah indeks nol untuk kelas rendah, indeks satu untuk kelas sedang, dan indeks dua untuk kelas tinggi. Pemetaan tersebut dicatat secara eksplisit agar penafsiran matriks konfusi tidak keliru.</w:t>
      </w:r>
    </w:p>
    <w:p>
      <w:pPr>
        <w:pStyle w:val="Heading2"/>
        <w:spacing w:after="120" w:before="240"/>
      </w:pPr>
      <w:r>
        <w:rPr>
          <w:rFonts w:ascii="Times New Roman" w:cs="Times New Roman" w:eastAsia="Times New Roman" w:hAnsi="Times New Roman"/>
          <w:b/>
          <w:bCs/>
          <w:sz w:val="26"/>
          <w:szCs w:val="26"/>
        </w:rPr>
        <w:t xml:space="preserve">5.5  Evaluasi Model</w:t>
      </w:r>
    </w:p>
    <w:p>
      <w:pPr>
        <w:spacing w:after="120" w:line="276"/>
        <w:jc w:val="both"/>
      </w:pPr>
      <w:r>
        <w:rPr>
          <w:rFonts w:ascii="Times New Roman" w:cs="Times New Roman" w:eastAsia="Times New Roman" w:hAnsi="Times New Roman"/>
          <w:sz w:val="24"/>
          <w:szCs w:val="24"/>
        </w:rPr>
        <w:t xml:space="preserve">Evaluasi dilakukan dengan lima metrik yang saling melengkapi. Akurasi mengukur proporsi prediksi benar secara keseluruhan, tetapi kurang informatif pada data tidak seimbang. Presisi makro dan recall makro mengukur ketepatan dan kelengkapan prediksi dengan bobot setara antarkelas. F1 makro sebagai rerata harmonik keduanya dipakai sebagai metrik utama. Luas daerah di bawah kurva ROC dengan pendekatan satu lawan sisanya mengukur kemampuan membedakan kelas secara menyeluruh.</w:t>
      </w:r>
    </w:p>
    <w:p>
      <w:pPr>
        <w:pStyle w:val="Heading3"/>
        <w:spacing w:after="100" w:before="180"/>
      </w:pPr>
      <w:r>
        <w:rPr>
          <w:rFonts w:ascii="Times New Roman" w:cs="Times New Roman" w:eastAsia="Times New Roman" w:hAnsi="Times New Roman"/>
          <w:b/>
          <w:bCs/>
          <w:sz w:val="24"/>
          <w:szCs w:val="24"/>
        </w:rPr>
        <w:t xml:space="preserve">Catatan Penting mengenai Kesetaraan Metrik</w:t>
      </w:r>
    </w:p>
    <w:p>
      <w:pPr>
        <w:spacing w:after="120" w:line="276"/>
        <w:jc w:val="both"/>
      </w:pPr>
      <w:r>
        <w:rPr>
          <w:rFonts w:ascii="Times New Roman" w:cs="Times New Roman" w:eastAsia="Times New Roman" w:hAnsi="Times New Roman"/>
          <w:sz w:val="24"/>
          <w:szCs w:val="24"/>
        </w:rPr>
        <w:t xml:space="preserve">Perbandingan lintas pustaka memerlukan kehati-hatian karena scikit-learn dan Spark MLlib memakai skema perata-rataan yang berbeda secara bawaan. MulticlassClassificationEvaluator pada Spark memakai skema weighted, yaitu perata-rataan berbobot proporsional jumlah anggota kelas, sedangkan penelitian ini memakai skema macro pada scikit-learn. Parameter metricName bernilai f1 pada Spark menghasilkan F1 weighted, bukan F1 makro.</w:t>
      </w:r>
    </w:p>
    <w:p>
      <w:pPr>
        <w:spacing w:after="120" w:line="276"/>
        <w:jc w:val="both"/>
      </w:pPr>
      <w:r>
        <w:rPr>
          <w:rFonts w:ascii="Times New Roman" w:cs="Times New Roman" w:eastAsia="Times New Roman" w:hAnsi="Times New Roman"/>
          <w:sz w:val="24"/>
          <w:szCs w:val="24"/>
        </w:rPr>
        <w:t xml:space="preserve">Ketidaksetaraan tersebut sempat luput pada tahap awal penulisan sehingga nilai weighted dari Spark dibandingkan langsung dengan nilai makro dari scikit-learn dan menghasilkan simpulan keliru bahwa Spark unggul. Kekeliruan itu terdeteksi melalui satu keganjilan aritmetis: nilai recall Spark sebesar 0,7174 sama persis dengan nilai akurasinya. Kesamaan tersebut merupakan sifat matematis recall weighted yang selalu identik dengan akurasi, sedangkan recall makro hampir tidak pernah demikian pada data tidak seimbang. Setelah kekeliruan diperbaiki, kedua pustaka dibandingkan pada skema weighted yang sama.</w:t>
      </w:r>
    </w:p>
    <w:p>
      <w:pPr>
        <w:spacing w:after="160" w:before="80"/>
        <w:jc w:val="center"/>
      </w:pPr>
      <w:r>
        <w:rPr>
          <w:rFonts w:ascii="Times New Roman" w:cs="Times New Roman" w:eastAsia="Times New Roman" w:hAnsi="Times New Roman"/>
          <w:sz w:val="20"/>
          <w:szCs w:val="20"/>
        </w:rPr>
        <w:t xml:space="preserve">Tabel 15. Hasil Evaluasi Model scikit-learn dan Spark MLlib</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50"/>
        <w:gridCol w:w="1120"/>
        <w:gridCol w:w="1250"/>
        <w:gridCol w:w="1250"/>
        <w:gridCol w:w="1150"/>
        <w:gridCol w:w="1000"/>
        <w:gridCol w:w="1000"/>
      </w:tblGrid>
      <w:tr>
        <w:trPr>
          <w:tblHeader/>
        </w:trPr>
        <w:tc>
          <w:tcPr>
            <w:tcW w:type="dxa" w:w="225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8"/>
                <w:szCs w:val="18"/>
              </w:rPr>
              <w:t xml:space="preserve">Model</w:t>
            </w:r>
          </w:p>
        </w:tc>
        <w:tc>
          <w:tcPr>
            <w:tcW w:type="dxa" w:w="112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8"/>
                <w:szCs w:val="18"/>
              </w:rPr>
              <w:t xml:space="preserve">Akurasi</w:t>
            </w:r>
          </w:p>
        </w:tc>
        <w:tc>
          <w:tcPr>
            <w:tcW w:type="dxa" w:w="125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8"/>
                <w:szCs w:val="18"/>
              </w:rPr>
              <w:t xml:space="preserve">F1 Weighted</w:t>
            </w:r>
          </w:p>
        </w:tc>
        <w:tc>
          <w:tcPr>
            <w:tcW w:type="dxa" w:w="125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8"/>
                <w:szCs w:val="18"/>
              </w:rPr>
              <w:t xml:space="preserve">F1 Makro</w:t>
            </w:r>
          </w:p>
        </w:tc>
        <w:tc>
          <w:tcPr>
            <w:tcW w:type="dxa" w:w="115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8"/>
                <w:szCs w:val="18"/>
              </w:rPr>
              <w:t xml:space="preserve">Presisi Wtd</w:t>
            </w:r>
          </w:p>
        </w:tc>
        <w:tc>
          <w:tcPr>
            <w:tcW w:type="dxa" w:w="10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8"/>
                <w:szCs w:val="18"/>
              </w:rPr>
              <w:t xml:space="preserve">AUC</w:t>
            </w:r>
          </w:p>
        </w:tc>
        <w:tc>
          <w:tcPr>
            <w:tcW w:type="dxa" w:w="10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8"/>
                <w:szCs w:val="18"/>
              </w:rPr>
              <w:t xml:space="preserve">Waktu</w:t>
            </w:r>
          </w:p>
        </w:tc>
      </w:tr>
      <w:tr>
        <w:tc>
          <w:tcPr>
            <w:tcW w:type="dxa" w:w="225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Logistic Regression</w:t>
            </w:r>
          </w:p>
        </w:tc>
        <w:tc>
          <w:tcPr>
            <w:tcW w:type="dxa" w:w="112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8"/>
                <w:szCs w:val="18"/>
              </w:rPr>
              <w:t xml:space="preserve">0,6996</w:t>
            </w:r>
          </w:p>
        </w:tc>
        <w:tc>
          <w:tcPr>
            <w:tcW w:type="dxa" w:w="12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8"/>
                <w:szCs w:val="18"/>
              </w:rPr>
              <w:t xml:space="preserve">0,6612</w:t>
            </w:r>
          </w:p>
        </w:tc>
        <w:tc>
          <w:tcPr>
            <w:tcW w:type="dxa" w:w="12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8"/>
                <w:szCs w:val="18"/>
              </w:rPr>
              <w:t xml:space="preserve">0,5793</w:t>
            </w:r>
          </w:p>
        </w:tc>
        <w:tc>
          <w:tcPr>
            <w:tcW w:type="dxa" w:w="11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8"/>
                <w:szCs w:val="18"/>
              </w:rPr>
              <w:t xml:space="preserve">0,6821</w:t>
            </w:r>
          </w:p>
        </w:tc>
        <w:tc>
          <w:tcPr>
            <w:tcW w:type="dxa" w:w="10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8"/>
                <w:szCs w:val="18"/>
              </w:rPr>
              <w:t xml:space="preserve">0,8009</w:t>
            </w:r>
          </w:p>
        </w:tc>
        <w:tc>
          <w:tcPr>
            <w:tcW w:type="dxa" w:w="10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8"/>
                <w:szCs w:val="18"/>
              </w:rPr>
              <w:t xml:space="preserve">0,30 s</w:t>
            </w:r>
          </w:p>
        </w:tc>
      </w:tr>
      <w:tr>
        <w:tc>
          <w:tcPr>
            <w:tcW w:type="dxa" w:w="225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Random Forest (sklearn)</w:t>
            </w:r>
          </w:p>
        </w:tc>
        <w:tc>
          <w:tcPr>
            <w:tcW w:type="dxa" w:w="112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8"/>
                <w:szCs w:val="18"/>
              </w:rPr>
              <w:t xml:space="preserve">0,7179</w:t>
            </w:r>
          </w:p>
        </w:tc>
        <w:tc>
          <w:tcPr>
            <w:tcW w:type="dxa" w:w="12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8"/>
                <w:szCs w:val="18"/>
              </w:rPr>
              <w:t xml:space="preserve">0,6999</w:t>
            </w:r>
          </w:p>
        </w:tc>
        <w:tc>
          <w:tcPr>
            <w:tcW w:type="dxa" w:w="12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8"/>
                <w:szCs w:val="18"/>
              </w:rPr>
              <w:t xml:space="preserve">0,6267</w:t>
            </w:r>
          </w:p>
        </w:tc>
        <w:tc>
          <w:tcPr>
            <w:tcW w:type="dxa" w:w="11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8"/>
                <w:szCs w:val="18"/>
              </w:rPr>
              <w:t xml:space="preserve">0,7102</w:t>
            </w:r>
          </w:p>
        </w:tc>
        <w:tc>
          <w:tcPr>
            <w:tcW w:type="dxa" w:w="10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8"/>
                <w:szCs w:val="18"/>
              </w:rPr>
              <w:t xml:space="preserve">0,8274</w:t>
            </w:r>
          </w:p>
        </w:tc>
        <w:tc>
          <w:tcPr>
            <w:tcW w:type="dxa" w:w="10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8"/>
                <w:szCs w:val="18"/>
              </w:rPr>
              <w:t xml:space="preserve">4,65 s</w:t>
            </w:r>
          </w:p>
        </w:tc>
      </w:tr>
      <w:tr>
        <w:tc>
          <w:tcPr>
            <w:tcW w:type="dxa" w:w="225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Gradient Boosting (sklearn)</w:t>
            </w:r>
          </w:p>
        </w:tc>
        <w:tc>
          <w:tcPr>
            <w:tcW w:type="dxa" w:w="112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8"/>
                <w:szCs w:val="18"/>
              </w:rPr>
              <w:t xml:space="preserve">0,7026</w:t>
            </w:r>
          </w:p>
        </w:tc>
        <w:tc>
          <w:tcPr>
            <w:tcW w:type="dxa" w:w="12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8"/>
                <w:szCs w:val="18"/>
              </w:rPr>
              <w:t xml:space="preserve">0,6851</w:t>
            </w:r>
          </w:p>
        </w:tc>
        <w:tc>
          <w:tcPr>
            <w:tcW w:type="dxa" w:w="12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8"/>
                <w:szCs w:val="18"/>
              </w:rPr>
              <w:t xml:space="preserve">0,5978</w:t>
            </w:r>
          </w:p>
        </w:tc>
        <w:tc>
          <w:tcPr>
            <w:tcW w:type="dxa" w:w="11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8"/>
                <w:szCs w:val="18"/>
              </w:rPr>
              <w:t xml:space="preserve">0,7035</w:t>
            </w:r>
          </w:p>
        </w:tc>
        <w:tc>
          <w:tcPr>
            <w:tcW w:type="dxa" w:w="10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8"/>
                <w:szCs w:val="18"/>
              </w:rPr>
              <w:t xml:space="preserve">0,8231</w:t>
            </w:r>
          </w:p>
        </w:tc>
        <w:tc>
          <w:tcPr>
            <w:tcW w:type="dxa" w:w="10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8"/>
                <w:szCs w:val="18"/>
              </w:rPr>
              <w:t xml:space="preserve">9,90 s</w:t>
            </w:r>
          </w:p>
        </w:tc>
      </w:tr>
      <w:tr>
        <w:tc>
          <w:tcPr>
            <w:tcW w:type="dxa" w:w="225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Random Forest (Spark MLlib)</w:t>
            </w:r>
          </w:p>
        </w:tc>
        <w:tc>
          <w:tcPr>
            <w:tcW w:type="dxa" w:w="112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8"/>
                <w:szCs w:val="18"/>
              </w:rPr>
              <w:t xml:space="preserve">0,7174</w:t>
            </w:r>
          </w:p>
        </w:tc>
        <w:tc>
          <w:tcPr>
            <w:tcW w:type="dxa" w:w="12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8"/>
                <w:szCs w:val="18"/>
              </w:rPr>
              <w:t xml:space="preserve">0,6987</w:t>
            </w:r>
          </w:p>
        </w:tc>
        <w:tc>
          <w:tcPr>
            <w:tcW w:type="dxa" w:w="12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8"/>
                <w:szCs w:val="18"/>
              </w:rPr>
              <w:t xml:space="preserve">tidak tersedia</w:t>
            </w:r>
          </w:p>
        </w:tc>
        <w:tc>
          <w:tcPr>
            <w:tcW w:type="dxa" w:w="11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8"/>
                <w:szCs w:val="18"/>
              </w:rPr>
              <w:t xml:space="preserve">0,7114</w:t>
            </w:r>
          </w:p>
        </w:tc>
        <w:tc>
          <w:tcPr>
            <w:tcW w:type="dxa" w:w="10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8"/>
                <w:szCs w:val="18"/>
              </w:rPr>
              <w:t xml:space="preserve">tidak tersedia</w:t>
            </w:r>
          </w:p>
        </w:tc>
        <w:tc>
          <w:tcPr>
            <w:tcW w:type="dxa" w:w="10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8"/>
                <w:szCs w:val="18"/>
              </w:rPr>
              <w:t xml:space="preserve">284,99 s</w:t>
            </w:r>
          </w:p>
        </w:tc>
      </w:tr>
    </w:tbl>
    <w:p>
      <w:pPr>
        <w:spacing w:after="120" w:line="276"/>
        <w:jc w:val="both"/>
      </w:pPr>
      <w:r>
        <w:rPr>
          <w:rFonts w:ascii="Times New Roman" w:cs="Times New Roman" w:eastAsia="Times New Roman" w:hAnsi="Times New Roman"/>
          <w:sz w:val="24"/>
          <w:szCs w:val="24"/>
        </w:rPr>
        <w:t xml:space="preserve">Kolom F1 makro dan AUC tidak tersedia untuk Spark MLlib karena MulticlassClassificationEvaluator tidak menyediakan skema makro maupun AUC satu lawan sisanya secara bawaan. Ketidaktersediaan tersebut dicantumkan secara eksplisit, bukan dikosongkan tanpa keterangan, agar keterbatasan perbandingan menjadi jelas bagi pembaca.</w:t>
      </w:r>
    </w:p>
    <w:p>
      <w:pPr>
        <w:spacing w:after="40" w:before="120"/>
        <w:jc w:val="center"/>
      </w:pPr>
      <w:r>
        <w:drawing>
          <wp:inline distT="0" distB="0" distL="0" distR="0">
            <wp:extent cx="571500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571625"/>
                    </a:xfrm>
                    <a:prstGeom prst="rect">
                      <a:avLst/>
                    </a:prstGeom>
                  </pic:spPr>
                </pic:pic>
              </a:graphicData>
            </a:graphic>
          </wp:inline>
        </w:drawing>
      </w:r>
    </w:p>
    <w:p>
      <w:pPr>
        <w:spacing w:after="160" w:before="40"/>
        <w:jc w:val="center"/>
      </w:pPr>
      <w:r>
        <w:rPr>
          <w:rFonts w:ascii="Times New Roman" w:cs="Times New Roman" w:eastAsia="Times New Roman" w:hAnsi="Times New Roman"/>
          <w:sz w:val="20"/>
          <w:szCs w:val="20"/>
        </w:rPr>
        <w:t xml:space="preserve">Gambar 4. Confusion Matrix Tiga Model scikit-learn</w:t>
      </w:r>
    </w:p>
    <w:p>
      <w:pPr>
        <w:spacing w:after="120" w:line="276"/>
        <w:jc w:val="both"/>
      </w:pPr>
      <w:r>
        <w:rPr>
          <w:rFonts w:ascii="Times New Roman" w:cs="Times New Roman" w:eastAsia="Times New Roman" w:hAnsi="Times New Roman"/>
          <w:sz w:val="24"/>
          <w:szCs w:val="24"/>
        </w:rPr>
        <w:t xml:space="preserve">Matriks konfusi pada Gambar 4 mengungkap pola kesalahan yang konsisten pada ketiga model. Kelas sedang merupakan kelas tersulit dengan recall hanya 0,24 pada Logistic Regression, 0,39 pada Random Forest, dan 0,42 pada Gradient Boosting. Kesulitan tersebut wajar karena kelas sedang berada pada wilayah peralihan yang secara alami bertumpang tindih dengan kedua kelas lain pada ruang fitur.</w:t>
      </w:r>
    </w:p>
    <w:p>
      <w:pPr>
        <w:spacing w:after="120" w:line="276"/>
        <w:jc w:val="both"/>
      </w:pPr>
      <w:r>
        <w:rPr>
          <w:rFonts w:ascii="Times New Roman" w:cs="Times New Roman" w:eastAsia="Times New Roman" w:hAnsi="Times New Roman"/>
          <w:sz w:val="24"/>
          <w:szCs w:val="24"/>
        </w:rPr>
        <w:t xml:space="preserve">Pola yang lebih penting justru terlihat pada kelas tinggi. Ketiga model mencapai presisi yang baik pada kelas tersebut, yaitu 0,86 pada Logistic Regression, 0,86 pada Random Forest, dan 0,83 pada Gradient Boosting, tetapi recall-nya rendah, berturut-turut 0,47, 0,49, dan 0,35. Artinya, ketika model menyatakan suatu zona berisiko tinggi, pernyataan itu umumnya benar; namun separuh lebih zona yang sesungguhnya berisiko tinggi tidak berhasil dikenali.</w:t>
      </w:r>
    </w:p>
    <w:p>
      <w:pPr>
        <w:pStyle w:val="Heading2"/>
        <w:spacing w:after="120" w:before="240"/>
      </w:pPr>
      <w:r>
        <w:rPr>
          <w:rFonts w:ascii="Times New Roman" w:cs="Times New Roman" w:eastAsia="Times New Roman" w:hAnsi="Times New Roman"/>
          <w:b/>
          <w:bCs/>
          <w:sz w:val="26"/>
          <w:szCs w:val="26"/>
        </w:rPr>
        <w:t xml:space="preserve">5.6  Analisis</w:t>
      </w:r>
    </w:p>
    <w:p>
      <w:pPr>
        <w:pStyle w:val="Heading3"/>
        <w:spacing w:after="100" w:before="180"/>
      </w:pPr>
      <w:r>
        <w:rPr>
          <w:rFonts w:ascii="Times New Roman" w:cs="Times New Roman" w:eastAsia="Times New Roman" w:hAnsi="Times New Roman"/>
          <w:b/>
          <w:bCs/>
          <w:sz w:val="24"/>
          <w:szCs w:val="24"/>
        </w:rPr>
        <w:t xml:space="preserve">Analisis Perbandingan Antaralgoritme</w:t>
      </w:r>
    </w:p>
    <w:p>
      <w:pPr>
        <w:spacing w:after="120" w:line="276"/>
        <w:jc w:val="both"/>
      </w:pPr>
      <w:r>
        <w:rPr>
          <w:rFonts w:ascii="Times New Roman" w:cs="Times New Roman" w:eastAsia="Times New Roman" w:hAnsi="Times New Roman"/>
          <w:sz w:val="24"/>
          <w:szCs w:val="24"/>
        </w:rPr>
        <w:t xml:space="preserve">Selisih kinerja antara Logistic Regression dan kedua metode ansambel cukup berarti, yaitu 0,047 poin F1 makro terhadap Random Forest. Selisih tersebut menunjukkan bahwa hubungan antara fitur dan tingkat risiko mengandung komponen nonlinear yang tidak dapat ditangkap batas keputusan linear. Meskipun demikian, selisihnya jauh lebih kecil daripada yang teramati pada rancangan label sebelumnya. Hal itu menandakan bahwa tugas prediksi berbasis jendela ke depan memiliki komponen linear yang lebih kuat dibandingkan tugas identifikasi zona pada rancangan sebelumnya.</w:t>
      </w:r>
    </w:p>
    <w:p>
      <w:pPr>
        <w:spacing w:after="120" w:line="276"/>
        <w:jc w:val="both"/>
      </w:pPr>
      <w:r>
        <w:rPr>
          <w:rFonts w:ascii="Times New Roman" w:cs="Times New Roman" w:eastAsia="Times New Roman" w:hAnsi="Times New Roman"/>
          <w:sz w:val="24"/>
          <w:szCs w:val="24"/>
        </w:rPr>
        <w:t xml:space="preserve">Perbandingan antara Random Forest dan Gradient Boosting menghasilkan temuan yang berbeda dari dugaan umum. Random Forest mengungguli Gradient Boosting pada seluruh metrik, yaitu F1 makro 0,6267 berbanding 0,5978, sekaligus dengan waktu pelatihan kurang dari separuhnya, yaitu 4,65 detik berbanding 9,90 detik. Gradient Boosting yang secara teoretis lebih kuat justru berkinerja lebih rendah, terutama pada recall kelas tinggi yang hanya 0,35.</w:t>
      </w:r>
    </w:p>
    <w:p>
      <w:pPr>
        <w:spacing w:after="120" w:line="276"/>
        <w:jc w:val="both"/>
      </w:pPr>
      <w:r>
        <w:rPr>
          <w:rFonts w:ascii="Times New Roman" w:cs="Times New Roman" w:eastAsia="Times New Roman" w:hAnsi="Times New Roman"/>
          <w:sz w:val="24"/>
          <w:szCs w:val="24"/>
        </w:rPr>
        <w:t xml:space="preserve">Penjelasan yang paling mungkin adalah konfigurasi bawaan Gradient Boosting pada scikit-learn memakai laju pembelajaran 0,1 dengan seratus tahap peningkatan, dan konfigurasi tersebut belum memadai untuk data dengan derajat derau tinggi seperti data kegempaan. Aktivitas seismik pada horizon sembilan puluh hari mengandung komponen acak yang besar sehingga model yang berupaya memperbaiki kesalahan secara bertahap justru cenderung mengejar derau. Random Forest yang merata-ratakan banyak pohon saling bebas lebih tahan terhadap keadaan tersebut.</w:t>
      </w:r>
    </w:p>
    <w:p>
      <w:pPr>
        <w:spacing w:after="40" w:before="120"/>
        <w:jc w:val="center"/>
      </w:pPr>
      <w:r>
        <w:drawing>
          <wp:inline distT="0" distB="0" distL="0" distR="0">
            <wp:extent cx="5524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286000"/>
                    </a:xfrm>
                    <a:prstGeom prst="rect">
                      <a:avLst/>
                    </a:prstGeom>
                  </pic:spPr>
                </pic:pic>
              </a:graphicData>
            </a:graphic>
          </wp:inline>
        </w:drawing>
      </w:r>
    </w:p>
    <w:p>
      <w:pPr>
        <w:spacing w:after="160" w:before="40"/>
        <w:jc w:val="center"/>
      </w:pPr>
      <w:r>
        <w:rPr>
          <w:rFonts w:ascii="Times New Roman" w:cs="Times New Roman" w:eastAsia="Times New Roman" w:hAnsi="Times New Roman"/>
          <w:sz w:val="20"/>
          <w:szCs w:val="20"/>
        </w:rPr>
        <w:t xml:space="preserve">Gambar 5. Feature Importance Random Forest dan Gradient Boosting</w:t>
      </w:r>
    </w:p>
    <w:p>
      <w:pPr>
        <w:spacing w:after="120" w:line="276"/>
        <w:jc w:val="both"/>
      </w:pPr>
      <w:r>
        <w:rPr>
          <w:rFonts w:ascii="Times New Roman" w:cs="Times New Roman" w:eastAsia="Times New Roman" w:hAnsi="Times New Roman"/>
          <w:sz w:val="24"/>
          <w:szCs w:val="24"/>
        </w:rPr>
        <w:t xml:space="preserve">Analisis kepentingan fitur pada Gambar 5 memberikan gambaran mengenai mekanisme kerja model. Fitur temporal event_count_7d dan event_count_30d yang mewakili intensitas aktivitas seismik terkini memiliki kontribusi dominan. Hal tersebut selaras dengan pemahaman seismologi bahwa aktivitas seismik memiliki autokorelasi: zona yang sedang aktif cenderung tetap aktif dalam waktu dekat. Fitur days_since_last_event juga berkontribusi berarti sebagai penanda keteraturan aktivitas.</w:t>
      </w:r>
    </w:p>
    <w:p>
      <w:pPr>
        <w:spacing w:after="120" w:line="276"/>
        <w:jc w:val="both"/>
      </w:pPr>
      <w:r>
        <w:rPr>
          <w:rFonts w:ascii="Times New Roman" w:cs="Times New Roman" w:eastAsia="Times New Roman" w:hAnsi="Times New Roman"/>
          <w:sz w:val="24"/>
          <w:szCs w:val="24"/>
        </w:rPr>
        <w:t xml:space="preserve">Sebaliknya, fitur tsunami memiliki kontribusi paling kecil karena hanya tujuh belas kejadian dari 19.266 yang bernilai positif sehingga variasi yang dapat dipelajari model sangat terbatas. Metrik mutu jaringan seismograf seperti gap dan nst memiliki kontribusi menengah, jauh berkurang dibandingkan dengan perannya pada rancangan label sebelumnya. Penurunan tersebut merupakan pertanda baik karena menegaskan bahwa model tidak lagi bertumpu pada sidik jari lokasi.</w:t>
      </w:r>
    </w:p>
    <w:p>
      <w:pPr>
        <w:pStyle w:val="Heading3"/>
        <w:spacing w:after="100" w:before="180"/>
      </w:pPr>
      <w:r>
        <w:rPr>
          <w:rFonts w:ascii="Times New Roman" w:cs="Times New Roman" w:eastAsia="Times New Roman" w:hAnsi="Times New Roman"/>
          <w:b/>
          <w:bCs/>
          <w:sz w:val="24"/>
          <w:szCs w:val="24"/>
        </w:rPr>
        <w:t xml:space="preserve">Analisis Perbandingan scikit-learn dan Spark MLlib</w:t>
      </w:r>
    </w:p>
    <w:p>
      <w:pPr>
        <w:spacing w:after="40" w:before="120"/>
        <w:jc w:val="center"/>
      </w:pPr>
      <w:r>
        <w:drawing>
          <wp:inline distT="0" distB="0" distL="0" distR="0">
            <wp:extent cx="571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905000"/>
                    </a:xfrm>
                    <a:prstGeom prst="rect">
                      <a:avLst/>
                    </a:prstGeom>
                  </pic:spPr>
                </pic:pic>
              </a:graphicData>
            </a:graphic>
          </wp:inline>
        </w:drawing>
      </w:r>
    </w:p>
    <w:p>
      <w:pPr>
        <w:spacing w:after="160" w:before="40"/>
        <w:jc w:val="center"/>
      </w:pPr>
      <w:r>
        <w:rPr>
          <w:rFonts w:ascii="Times New Roman" w:cs="Times New Roman" w:eastAsia="Times New Roman" w:hAnsi="Times New Roman"/>
          <w:sz w:val="20"/>
          <w:szCs w:val="20"/>
        </w:rPr>
        <w:t xml:space="preserve">Gambar 6. Perbandingan Metrik dan Waktu Pelatihan scikit-learn dan Spark MLlib</w:t>
      </w:r>
    </w:p>
    <w:p>
      <w:pPr>
        <w:spacing w:after="120" w:line="276"/>
        <w:jc w:val="both"/>
      </w:pPr>
      <w:r>
        <w:rPr>
          <w:rFonts w:ascii="Times New Roman" w:cs="Times New Roman" w:eastAsia="Times New Roman" w:hAnsi="Times New Roman"/>
          <w:sz w:val="24"/>
          <w:szCs w:val="24"/>
        </w:rPr>
        <w:t xml:space="preserve">Setelah kedua pustaka dibandingkan pada skema metrik yang setara, hasilnya praktis identik. Random Forest pada scikit-learn mencapai F1 weighted 0,6999, sedangkan Random Forest pada Spark MLlib mencapai 0,6987. Selisih sebesar 0,0012 poin tidak bermakna secara praktis dan berada dalam rentang variasi wajar akibat perbedaan implementasi internal serta pembangkitan bilangan acak.</w:t>
      </w:r>
    </w:p>
    <w:p>
      <w:pPr>
        <w:spacing w:after="120" w:line="276"/>
        <w:jc w:val="both"/>
      </w:pPr>
      <w:r>
        <w:rPr>
          <w:rFonts w:ascii="Times New Roman" w:cs="Times New Roman" w:eastAsia="Times New Roman" w:hAnsi="Times New Roman"/>
          <w:sz w:val="24"/>
          <w:szCs w:val="24"/>
        </w:rPr>
        <w:t xml:space="preserve">Kesetaraan tersebut merupakan temuan yang menenangkan sekaligus penting. Menenangkan karena menunjukkan bahwa kedua implementasi Random Forest menghasilkan model yang setara mutunya sehingga pemilihan pustaka tidak mengorbankan kualitas prediksi. Penting karena membalik simpulan awal yang keliru: sebelum kekeliruan skema metrik diperbaiki, Spark tampak unggul 0,072 poin, dan atas dasar itu hampir ditarik simpulan bahwa optimasi hiperparameter Spark memberikan keuntungan nyata. Setelah diperiksa, keunggulan tersebut ternyata semu.</w:t>
      </w:r>
    </w:p>
    <w:p>
      <w:pPr>
        <w:spacing w:after="120" w:line="276"/>
        <w:jc w:val="both"/>
      </w:pPr>
      <w:r>
        <w:rPr>
          <w:rFonts w:ascii="Times New Roman" w:cs="Times New Roman" w:eastAsia="Times New Roman" w:hAnsi="Times New Roman"/>
          <w:sz w:val="24"/>
          <w:szCs w:val="24"/>
        </w:rPr>
        <w:t xml:space="preserve">Dari sisi efisiensi komputasi, selisihnya sangat mencolok. Spark MLlib memerlukan 284,99 detik untuk menyelesaikan pelatihan beserta validasi silang, sedangkan Random Forest scikit-learn hanya memerlukan 4,65 detik. Rasio sebesar enam puluh satu kali lipat tersebut tidak sepenuhnya mewakili perbandingan yang adil karena Spark menjalankan dua belas konfigurasi model dalam validasi silang tiga lipatan, sedangkan scikit-learn hanya melatih satu konfigurasi. Namun, bahkan setelah faktor tersebut diperhitungkan, yaitu sekitar 7,9 detik per konfigurasi, waktu Spark tetap lebih tinggi daripada scikit-learn yang melatih model penuh dalam 4,65 detik.</w:t>
      </w:r>
    </w:p>
    <w:p>
      <w:pPr>
        <w:spacing w:after="120" w:line="276"/>
        <w:jc w:val="both"/>
      </w:pPr>
      <w:r>
        <w:rPr>
          <w:rFonts w:ascii="Times New Roman" w:cs="Times New Roman" w:eastAsia="Times New Roman" w:hAnsi="Times New Roman"/>
          <w:sz w:val="24"/>
          <w:szCs w:val="24"/>
        </w:rPr>
        <w:t xml:space="preserve">Selisih waktu tersebut bersumber pada beban tambahan yang melekat pada arsitektur terdistribusi, meliputi penyiapan Java Virtual Machine, serialisasi data antara Python dan JVM, serta koordinasi penjadwalan tugas. Pada dataset berukuran 18.936 baris yang seluruhnya termuat dalam memori satu mesin, beban tambahan tersebut jauh melampaui manfaat paralelisasi.</w:t>
      </w:r>
    </w:p>
    <w:p>
      <w:pPr>
        <w:pStyle w:val="Heading3"/>
        <w:spacing w:after="100" w:before="180"/>
      </w:pPr>
      <w:r>
        <w:rPr>
          <w:rFonts w:ascii="Times New Roman" w:cs="Times New Roman" w:eastAsia="Times New Roman" w:hAnsi="Times New Roman"/>
          <w:b/>
          <w:bCs/>
          <w:sz w:val="24"/>
          <w:szCs w:val="24"/>
        </w:rPr>
        <w:t xml:space="preserve">Implikasi terhadap Pemilihan Teknologi</w:t>
      </w:r>
    </w:p>
    <w:p>
      <w:pPr>
        <w:spacing w:after="120" w:line="276"/>
        <w:jc w:val="both"/>
      </w:pPr>
      <w:r>
        <w:rPr>
          <w:rFonts w:ascii="Times New Roman" w:cs="Times New Roman" w:eastAsia="Times New Roman" w:hAnsi="Times New Roman"/>
          <w:sz w:val="24"/>
          <w:szCs w:val="24"/>
        </w:rPr>
        <w:t xml:space="preserve">Temuan tersebut menghasilkan simpulan yang penting bagi praktik pemilihan teknologi. Penggunaan Spark tidak dengan sendirinya memberikan keuntungan kinerja, dan pada skala data kecil hingga menengah justru merugikan. Keunggulan Spark baru terwujud ketika volume data melampaui kapasitas memori satu mesin atau ketika data secara inheren tersebar pada beberapa lokasi penyimpanan.</w:t>
      </w:r>
    </w:p>
    <w:p>
      <w:pPr>
        <w:spacing w:after="120" w:line="276"/>
        <w:jc w:val="both"/>
      </w:pPr>
      <w:r>
        <w:rPr>
          <w:rFonts w:ascii="Times New Roman" w:cs="Times New Roman" w:eastAsia="Times New Roman" w:hAnsi="Times New Roman"/>
          <w:sz w:val="24"/>
          <w:szCs w:val="24"/>
        </w:rPr>
        <w:t xml:space="preserve">Dalam konteks penelitian ini, pemilihan Spark pada rancangan tetap dapat dipertahankan dengan alasan skalabilitas jangka panjang. Apabila cakupan sistem diperluas hingga mencakup data seismik global, data sensor berfrekuensi tinggi, atau pemaduan dengan data dampak bencana yang jauh lebih besar volumenya, arsitektur terdistribusi menjadi keharusan. Namun, untuk kebutuhan operasional pada skala saat ini, implementasi scikit-learn memberikan hasil setara dengan efisiensi jauh lebih tinggi.</w:t>
      </w:r>
    </w:p>
    <w:p>
      <w:pPr>
        <w:pStyle w:val="Heading3"/>
        <w:spacing w:after="100" w:before="180"/>
      </w:pPr>
      <w:r>
        <w:rPr>
          <w:rFonts w:ascii="Times New Roman" w:cs="Times New Roman" w:eastAsia="Times New Roman" w:hAnsi="Times New Roman"/>
          <w:b/>
          <w:bCs/>
          <w:sz w:val="24"/>
          <w:szCs w:val="24"/>
        </w:rPr>
        <w:t xml:space="preserve">Implikasi Operasional dan Keterbatasan Model</w:t>
      </w:r>
    </w:p>
    <w:p>
      <w:pPr>
        <w:spacing w:after="120" w:line="276"/>
        <w:jc w:val="both"/>
      </w:pPr>
      <w:r>
        <w:rPr>
          <w:rFonts w:ascii="Times New Roman" w:cs="Times New Roman" w:eastAsia="Times New Roman" w:hAnsi="Times New Roman"/>
          <w:sz w:val="24"/>
          <w:szCs w:val="24"/>
        </w:rPr>
        <w:t xml:space="preserve">Pola presisi tinggi disertai recall rendah pada kelas tinggi memiliki implikasi operasional yang serius dan perlu dinyatakan secara terbuka. Dalam konteks mitigasi bencana, kegagalan mengenali zona yang sesungguhnya berisiko tinggi jauh lebih berbahaya daripada peringatan yang berlebihan. Dengan recall 0,49 pada Random Forest, sekitar separuh zona berisiko tinggi tidak akan memperoleh prioritas mitigasi apabila keputusan didasarkan sepenuhnya pada keluaran model.</w:t>
      </w:r>
    </w:p>
    <w:p>
      <w:pPr>
        <w:spacing w:after="120" w:line="276"/>
        <w:jc w:val="both"/>
      </w:pPr>
      <w:r>
        <w:rPr>
          <w:rFonts w:ascii="Times New Roman" w:cs="Times New Roman" w:eastAsia="Times New Roman" w:hAnsi="Times New Roman"/>
          <w:sz w:val="24"/>
          <w:szCs w:val="24"/>
        </w:rPr>
        <w:t xml:space="preserve">Perbaikan yang dapat ditempuh mencakup penyesuaian ambang keputusan agar lebih memihak recall pada kelas tinggi, penerapan pembobotan kelas pada fungsi kerugian, atau penerapan teknik penyeimbangan data. Ketiga pendekatan tersebut akan menurunkan presisi sebagai imbalannya, dan pilihan titik keseimbangan seharusnya ditentukan bersama pemangku kepentingan berdasarkan biaya relatif antara kesalahan positif dan kesalahan negatif.</w:t>
      </w:r>
    </w:p>
    <w:p>
      <w:pPr>
        <w:spacing w:after="120" w:line="276"/>
        <w:jc w:val="both"/>
      </w:pPr>
      <w:r>
        <w:rPr>
          <w:rFonts w:ascii="Times New Roman" w:cs="Times New Roman" w:eastAsia="Times New Roman" w:hAnsi="Times New Roman"/>
          <w:sz w:val="24"/>
          <w:szCs w:val="24"/>
        </w:rPr>
        <w:t xml:space="preserve">Beberapa keterbatasan lain perlu dicatat. Pertama, akurasi model pada kisaran 0,72 berarti sekitar satu dari empat prediksi masih keliru. Tingkat ketepatan tersebut memadai sebagai alat bantu penentuan prioritas, tetapi belum memadai sebagai dasar keputusan tunggal tanpa pertimbangan lain.</w:t>
      </w:r>
    </w:p>
    <w:p>
      <w:pPr>
        <w:spacing w:after="120" w:line="276"/>
        <w:jc w:val="both"/>
      </w:pPr>
      <w:r>
        <w:rPr>
          <w:rFonts w:ascii="Times New Roman" w:cs="Times New Roman" w:eastAsia="Times New Roman" w:hAnsi="Times New Roman"/>
          <w:sz w:val="24"/>
          <w:szCs w:val="24"/>
        </w:rPr>
        <w:t xml:space="preserve">Kedua, sebanyak 238 dari 430 zona tetap berlabel tunggal karena frekuensi kejadiannya terlalu rendah untuk membentuk variasi. Model dengan sendirinya kurang informatif bagi zona tersebut, dan penilaian risikonya sebaiknya bersandar pada kajian geologi, bukan pada keluaran model.</w:t>
      </w:r>
    </w:p>
    <w:p>
      <w:pPr>
        <w:spacing w:after="120" w:line="276"/>
        <w:jc w:val="both"/>
      </w:pPr>
      <w:r>
        <w:rPr>
          <w:rFonts w:ascii="Times New Roman" w:cs="Times New Roman" w:eastAsia="Times New Roman" w:hAnsi="Times New Roman"/>
          <w:sz w:val="24"/>
          <w:szCs w:val="24"/>
        </w:rPr>
        <w:t xml:space="preserve">Ketiga, horizon sembilan puluh hari ditetapkan berdasarkan pertimbangan praktis, yaitu cukup panjang untuk menangkap pola aktivitas, tetapi cukup pendek untuk bermanfaat bagi perencanaan mitigasi jangka pendek. Penetapan tersebut belum diuji terhadap horizon alternatif. Kajian sensitivitas terhadap panjang horizon merupakan arah pengembangan yang wajar bagi penelitian lanjutan.</w:t>
      </w:r>
    </w:p>
    <w:p>
      <w:pPr>
        <w:spacing w:after="120" w:line="276"/>
        <w:jc w:val="both"/>
      </w:pPr>
      <w:r>
        <w:rPr>
          <w:rFonts w:ascii="Times New Roman" w:cs="Times New Roman" w:eastAsia="Times New Roman" w:hAnsi="Times New Roman"/>
          <w:sz w:val="24"/>
          <w:szCs w:val="24"/>
        </w:rPr>
        <w:t xml:space="preserve">Keempat, label yang digunakan merupakan proksi yang dibangun dari data katalog, bukan label yang divalidasi pakar seismologi atau data kerusakan aktual. Validasi terhadap data dampak nyata dari BNPB akan memperkuat keabsahan model, tetapi terkendala ketiadaan antarmuka pemrograman publik pada sumber tersebut.</w:t>
      </w:r>
    </w:p>
    <w:p>
      <w:r>
        <w:br w:type="page"/>
      </w:r>
    </w:p>
    <w:p>
      <w:pPr>
        <w:pStyle w:val="Heading1"/>
        <w:spacing w:after="240" w:before="240"/>
        <w:jc w:val="center"/>
      </w:pPr>
      <w:r>
        <w:rPr>
          <w:rFonts w:ascii="Times New Roman" w:cs="Times New Roman" w:eastAsia="Times New Roman" w:hAnsi="Times New Roman"/>
          <w:b/>
          <w:bCs/>
          <w:sz w:val="28"/>
          <w:szCs w:val="28"/>
        </w:rPr>
        <w:t xml:space="preserve">BAB VI GRAPH ANALYTICS</w:t>
      </w:r>
    </w:p>
    <w:p>
      <w:pPr>
        <w:spacing w:after="120" w:line="276"/>
        <w:jc w:val="both"/>
      </w:pPr>
      <w:r>
        <w:rPr>
          <w:rFonts w:ascii="Times New Roman" w:cs="Times New Roman" w:eastAsia="Times New Roman" w:hAnsi="Times New Roman"/>
          <w:sz w:val="24"/>
          <w:szCs w:val="24"/>
        </w:rPr>
        <w:t xml:space="preserve">Analisis graf diterapkan untuk menangkap dimensi keterkaitan antarwilayah yang tidak dapat direpresentasikan secara memadai dalam model tabular. Model tabular memperlakukan setiap kejadian sebagai entitas yang berdiri sendiri, padahal aktivitas seismik memiliki ciri keterkaitan spasial dan temporal: kejadian di satu zona dapat berhubungan dengan kejadian di zona lain melalui mekanisme perambatan tegangan atau rangkaian gempa susulan.</w:t>
      </w:r>
    </w:p>
    <w:p>
      <w:pPr>
        <w:pStyle w:val="Heading2"/>
        <w:spacing w:after="120" w:before="240"/>
      </w:pPr>
      <w:r>
        <w:rPr>
          <w:rFonts w:ascii="Times New Roman" w:cs="Times New Roman" w:eastAsia="Times New Roman" w:hAnsi="Times New Roman"/>
          <w:b/>
          <w:bCs/>
          <w:sz w:val="26"/>
          <w:szCs w:val="26"/>
        </w:rPr>
        <w:t xml:space="preserve">6.1  Pengembangan Graph</w:t>
      </w:r>
    </w:p>
    <w:p>
      <w:pPr>
        <w:pStyle w:val="Heading3"/>
        <w:spacing w:after="100" w:before="180"/>
      </w:pPr>
      <w:r>
        <w:rPr>
          <w:rFonts w:ascii="Times New Roman" w:cs="Times New Roman" w:eastAsia="Times New Roman" w:hAnsi="Times New Roman"/>
          <w:b/>
          <w:bCs/>
          <w:sz w:val="24"/>
          <w:szCs w:val="24"/>
        </w:rPr>
        <w:t xml:space="preserve">Graph A: Jaringan Spasial-Temporal Zona Seismik</w:t>
      </w:r>
    </w:p>
    <w:p>
      <w:pPr>
        <w:spacing w:after="120" w:line="276"/>
        <w:jc w:val="both"/>
      </w:pPr>
      <w:r>
        <w:rPr>
          <w:rFonts w:ascii="Times New Roman" w:cs="Times New Roman" w:eastAsia="Times New Roman" w:hAnsi="Times New Roman"/>
          <w:sz w:val="24"/>
          <w:szCs w:val="24"/>
        </w:rPr>
        <w:t xml:space="preserve">Graf pertama dirancang untuk memetakan keterkaitan antarzona berdasarkan kedekatan spasial dan temporal kejadian. Simpul mewakili zona seismik hasil diskretisasi grid satu derajat sehingga menghasilkan 430 simpul. Sisi dibentuk antara dua zona apabila terdapat pasangan kejadian di kedua zona tersebut yang berjarak kurang dari dua ratus kilometer dan terpisah kurang dari tujuh hari. Bobot sisi menyatakan jumlah pasangan kejadian yang memenuhi kriteria tersebut.</w:t>
      </w:r>
    </w:p>
    <w:p>
      <w:pPr>
        <w:spacing w:after="120" w:line="276"/>
        <w:jc w:val="both"/>
      </w:pPr>
      <w:r>
        <w:rPr>
          <w:rFonts w:ascii="Times New Roman" w:cs="Times New Roman" w:eastAsia="Times New Roman" w:hAnsi="Times New Roman"/>
          <w:sz w:val="24"/>
          <w:szCs w:val="24"/>
        </w:rPr>
        <w:t xml:space="preserve">Penetapan ambang dua ratus kilometer dan tujuh hari berpijak pada ciri gempa susulan yang umumnya terjadi dalam radius dan rentang waktu tersebut dari gempa utama. Ambang tersebut merupakan penyederhanaan karena parameter sebenarnya bergantung pada magnitudo gempa utama, tetapi memadai untuk analisis penjajakan pada tingkat zona.</w:t>
      </w:r>
    </w:p>
    <w:p>
      <w:pPr>
        <w:spacing w:after="120" w:line="276"/>
        <w:jc w:val="both"/>
      </w:pPr>
      <w:r>
        <w:rPr>
          <w:rFonts w:ascii="Times New Roman" w:cs="Times New Roman" w:eastAsia="Times New Roman" w:hAnsi="Times New Roman"/>
          <w:sz w:val="24"/>
          <w:szCs w:val="24"/>
        </w:rPr>
        <w:t xml:space="preserve">Implementasi pembentukan graf menghadapi tantangan kerumitan komputasi. Pendekatan naif yang memeriksa seluruh pasangan kejadian menghasilkan kerumitan kuadratik: untuk 19.266 kejadian diperlukan sekitar 185 juta pemeriksaan pasangan. Untuk mengatasinya diterapkan pendekatan jendela geser: kejadian diurutkan berdasarkan waktu dan pemeriksaan hanya dilakukan terhadap kejadian dalam rentang tujuh hari berikutnya. Selain itu, perhitungan jarak yang semula memakai pustaka geodesik diganti dengan implementasi haversine langsung sehingga menghasilkan percepatan sekitar 2,3 kali lipat. Pembentukan graf untuk dataset penuh memerlukan waktu sekitar 87 detik.</w:t>
      </w:r>
    </w:p>
    <w:p>
      <w:pPr>
        <w:spacing w:after="40" w:before="120"/>
        <w:jc w:val="center"/>
      </w:pPr>
      <w:r>
        <w:drawing>
          <wp:inline distT="0" distB="0" distL="0" distR="0">
            <wp:extent cx="4000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4000500"/>
                    </a:xfrm>
                    <a:prstGeom prst="rect">
                      <a:avLst/>
                    </a:prstGeom>
                  </pic:spPr>
                </pic:pic>
              </a:graphicData>
            </a:graphic>
          </wp:inline>
        </w:drawing>
      </w:r>
    </w:p>
    <w:p>
      <w:pPr>
        <w:spacing w:after="160" w:before="40"/>
        <w:jc w:val="center"/>
      </w:pPr>
      <w:r>
        <w:rPr>
          <w:rFonts w:ascii="Times New Roman" w:cs="Times New Roman" w:eastAsia="Times New Roman" w:hAnsi="Times New Roman"/>
          <w:sz w:val="20"/>
          <w:szCs w:val="20"/>
        </w:rPr>
        <w:t xml:space="preserve">Gambar 7. Graph A – Jaringan Spasial-Temporal Zona Seismik</w:t>
      </w:r>
    </w:p>
    <w:p>
      <w:pPr>
        <w:spacing w:after="120" w:line="276"/>
        <w:jc w:val="both"/>
      </w:pPr>
      <w:r>
        <w:rPr>
          <w:rFonts w:ascii="Times New Roman" w:cs="Times New Roman" w:eastAsia="Times New Roman" w:hAnsi="Times New Roman"/>
          <w:sz w:val="24"/>
          <w:szCs w:val="24"/>
        </w:rPr>
        <w:t xml:space="preserve">Graf yang dihasilkan terdiri atas 430 simpul dan 998 sisi. Visualisasi pada Gambar 7 menempatkan simpul sesuai koordinat geografis sebenarnya sehingga struktur graf dapat dibaca sekaligus sebagai peta. Warna simpul menunjukkan komunitas hasil deteksi algoritme Louvain, sedangkan ukuran simpul sebanding dengan derajat keterhubungan.</w:t>
      </w:r>
    </w:p>
    <w:p>
      <w:pPr>
        <w:pStyle w:val="Heading3"/>
        <w:spacing w:after="100" w:before="180"/>
      </w:pPr>
      <w:r>
        <w:rPr>
          <w:rFonts w:ascii="Times New Roman" w:cs="Times New Roman" w:eastAsia="Times New Roman" w:hAnsi="Times New Roman"/>
          <w:b/>
          <w:bCs/>
          <w:sz w:val="24"/>
          <w:szCs w:val="24"/>
        </w:rPr>
        <w:t xml:space="preserve">Graph B: Bipartit Wilayah dan Karakteristik Hazard</w:t>
      </w:r>
    </w:p>
    <w:p>
      <w:pPr>
        <w:spacing w:after="120" w:line="276"/>
        <w:jc w:val="both"/>
      </w:pPr>
      <w:r>
        <w:rPr>
          <w:rFonts w:ascii="Times New Roman" w:cs="Times New Roman" w:eastAsia="Times New Roman" w:hAnsi="Times New Roman"/>
          <w:sz w:val="24"/>
          <w:szCs w:val="24"/>
        </w:rPr>
        <w:t xml:space="preserve">Graf kedua dirancang untuk memetakan hubungan antara wilayah dan karakteristik hazard yang dialaminya. Struktur graf bersifat dua partit dengan 430 simpul wilayah pada satu sisi dan sembilan simpul kategori pada sisi lain. Kategori mencakup tiga kelas kedalaman, empat pita magnitudo, dan dua kategori potensi tsunami. Sisi dibentuk antara wilayah dan kategori apabila terdapat kejadian di wilayah tersebut yang termasuk dalam kategori bersangkutan, dengan bobot menyatakan jumlah kejadian.</w:t>
      </w:r>
    </w:p>
    <w:p>
      <w:pPr>
        <w:spacing w:after="40" w:before="120"/>
        <w:jc w:val="center"/>
      </w:pPr>
      <w:r>
        <w:drawing>
          <wp:inline distT="0" distB="0" distL="0" distR="0">
            <wp:extent cx="4953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3619500"/>
                    </a:xfrm>
                    <a:prstGeom prst="rect">
                      <a:avLst/>
                    </a:prstGeom>
                  </pic:spPr>
                </pic:pic>
              </a:graphicData>
            </a:graphic>
          </wp:inline>
        </w:drawing>
      </w:r>
    </w:p>
    <w:p>
      <w:pPr>
        <w:spacing w:after="160" w:before="40"/>
        <w:jc w:val="center"/>
      </w:pPr>
      <w:r>
        <w:rPr>
          <w:rFonts w:ascii="Times New Roman" w:cs="Times New Roman" w:eastAsia="Times New Roman" w:hAnsi="Times New Roman"/>
          <w:sz w:val="20"/>
          <w:szCs w:val="20"/>
        </w:rPr>
        <w:t xml:space="preserve">Gambar 8. Graph B – Bipartit Wilayah dan Karakteristik Hazard</w:t>
      </w:r>
    </w:p>
    <w:p>
      <w:pPr>
        <w:spacing w:after="120" w:line="276"/>
        <w:jc w:val="both"/>
      </w:pPr>
      <w:r>
        <w:rPr>
          <w:rFonts w:ascii="Times New Roman" w:cs="Times New Roman" w:eastAsia="Times New Roman" w:hAnsi="Times New Roman"/>
          <w:sz w:val="24"/>
          <w:szCs w:val="24"/>
        </w:rPr>
        <w:t xml:space="preserve">Graf yang dihasilkan terdiri atas 439 simpul dan 3.451 sisi. Derajat keterhubungan simpul wilayah pada graf tersebut memiliki tafsiran langsung sebagai keragaman karakteristik hazard: wilayah dengan derajat tinggi mengalami gabungan kedalaman, magnitudo, dan potensi tsunami yang lebih beragam.</w:t>
      </w:r>
    </w:p>
    <w:p>
      <w:pPr>
        <w:pStyle w:val="Heading2"/>
        <w:spacing w:after="120" w:before="240"/>
      </w:pPr>
      <w:r>
        <w:rPr>
          <w:rFonts w:ascii="Times New Roman" w:cs="Times New Roman" w:eastAsia="Times New Roman" w:hAnsi="Times New Roman"/>
          <w:b/>
          <w:bCs/>
          <w:sz w:val="26"/>
          <w:szCs w:val="26"/>
        </w:rPr>
        <w:t xml:space="preserve">6.2  Analisis dan Insight yang Diperoleh</w:t>
      </w:r>
    </w:p>
    <w:p>
      <w:pPr>
        <w:pStyle w:val="Heading3"/>
        <w:spacing w:after="100" w:before="180"/>
      </w:pPr>
      <w:r>
        <w:rPr>
          <w:rFonts w:ascii="Times New Roman" w:cs="Times New Roman" w:eastAsia="Times New Roman" w:hAnsi="Times New Roman"/>
          <w:b/>
          <w:bCs/>
          <w:sz w:val="24"/>
          <w:szCs w:val="24"/>
        </w:rPr>
        <w:t xml:space="preserve">Temuan Pertama: Keterpecahan Jaringan Seismik</w:t>
      </w:r>
    </w:p>
    <w:p>
      <w:pPr>
        <w:spacing w:after="120" w:line="276"/>
        <w:jc w:val="both"/>
      </w:pPr>
      <w:r>
        <w:rPr>
          <w:rFonts w:ascii="Times New Roman" w:cs="Times New Roman" w:eastAsia="Times New Roman" w:hAnsi="Times New Roman"/>
          <w:sz w:val="24"/>
          <w:szCs w:val="24"/>
        </w:rPr>
        <w:t xml:space="preserve">Analisis komponen terhubung mengungkap bahwa graf spasial-temporal terpecah menjadi 79 komponen terpisah. Komponen terbesar mencakup 349 zona, sedangkan 78 komponen sisanya berukuran sangat kecil dan sebagian besar merupakan zona terpencil tanpa keterhubungan sama sekali.</w:t>
      </w:r>
    </w:p>
    <w:p>
      <w:pPr>
        <w:spacing w:after="120" w:line="276"/>
        <w:jc w:val="both"/>
      </w:pPr>
      <w:r>
        <w:rPr>
          <w:rFonts w:ascii="Times New Roman" w:cs="Times New Roman" w:eastAsia="Times New Roman" w:hAnsi="Times New Roman"/>
          <w:sz w:val="24"/>
          <w:szCs w:val="24"/>
        </w:rPr>
        <w:t xml:space="preserve">Temuan tersebut memiliki dua lapis tafsiran. Di satu sisi, keberadaan komponen besar yang mencakup 349 dari 430 zona menunjukkan bahwa sebagian besar wilayah seismik Indonesia terhubung dalam satu jaringan aktivitas dan mencerminkan kesinambungan sistem tektonik sepanjang busur kepulauan. Di sisi lain, keberadaan 78 komponen terpencil menunjukkan adanya zona yang aktivitas seismiknya tidak berkorelasi dengan wilayah sekitarnya dalam rentang tujuh hari. Zona terpencil tersebut umumnya berada di wilayah dengan aktivitas jarang sehingga peluang terjadinya kejadian bersamaan dengan zona tetangga menjadi kecil.</w:t>
      </w:r>
    </w:p>
    <w:p>
      <w:pPr>
        <w:spacing w:after="120" w:line="276"/>
        <w:jc w:val="both"/>
      </w:pPr>
      <w:r>
        <w:rPr>
          <w:rFonts w:ascii="Times New Roman" w:cs="Times New Roman" w:eastAsia="Times New Roman" w:hAnsi="Times New Roman"/>
          <w:sz w:val="24"/>
          <w:szCs w:val="24"/>
        </w:rPr>
        <w:t xml:space="preserve">Implikasi praktisnya adalah strategi pemantauan tidak dapat diseragamkan. Zona dalam komponen besar dapat dipantau melalui pendekatan jaringan: aktivitas di satu zona menjadi indikator bagi zona tetangga. Sebaliknya, zona terpencil memerlukan pemantauan mandiri karena tidak memiliki zona penanda yang berkorelasi.</w:t>
      </w:r>
    </w:p>
    <w:p>
      <w:pPr>
        <w:pStyle w:val="Heading3"/>
        <w:spacing w:after="100" w:before="180"/>
      </w:pPr>
      <w:r>
        <w:rPr>
          <w:rFonts w:ascii="Times New Roman" w:cs="Times New Roman" w:eastAsia="Times New Roman" w:hAnsi="Times New Roman"/>
          <w:b/>
          <w:bCs/>
          <w:sz w:val="24"/>
          <w:szCs w:val="24"/>
        </w:rPr>
        <w:t xml:space="preserve">Temuan Kedua: Zona Sentral dan Tafsiran Sentralitas</w:t>
      </w:r>
    </w:p>
    <w:p>
      <w:pPr>
        <w:spacing w:after="160" w:before="80"/>
        <w:jc w:val="center"/>
      </w:pPr>
      <w:r>
        <w:rPr>
          <w:rFonts w:ascii="Times New Roman" w:cs="Times New Roman" w:eastAsia="Times New Roman" w:hAnsi="Times New Roman"/>
          <w:sz w:val="20"/>
          <w:szCs w:val="20"/>
        </w:rPr>
        <w:t xml:space="preserve">Tabel 16. Metrik Sentralitas Graph A – Lima Zona Teratas berdasarkan PageRank</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900"/>
        <w:gridCol w:w="1900"/>
        <w:gridCol w:w="1720"/>
      </w:tblGrid>
      <w:tr>
        <w:trPr>
          <w:tblHeader/>
        </w:trPr>
        <w:tc>
          <w:tcPr>
            <w:tcW w:type="dxa" w:w="18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Zona</w:t>
            </w:r>
          </w:p>
        </w:tc>
        <w:tc>
          <w:tcPr>
            <w:tcW w:type="dxa" w:w="17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Derajat</w:t>
            </w:r>
          </w:p>
        </w:tc>
        <w:tc>
          <w:tcPr>
            <w:tcW w:type="dxa" w:w="19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PageRank</w:t>
            </w:r>
          </w:p>
        </w:tc>
        <w:tc>
          <w:tcPr>
            <w:tcW w:type="dxa" w:w="19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Keperantaraan</w:t>
            </w:r>
          </w:p>
        </w:tc>
        <w:tc>
          <w:tcPr>
            <w:tcW w:type="dxa" w:w="172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Perkiraan Lokasi</w:t>
            </w:r>
          </w:p>
        </w:tc>
      </w:tr>
      <w:tr>
        <w:tc>
          <w:tcPr>
            <w:tcW w:type="dxa" w:w="18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–7_129</w:t>
            </w:r>
          </w:p>
        </w:tc>
        <w:tc>
          <w:tcPr>
            <w:tcW w:type="dxa" w:w="17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10</w:t>
            </w:r>
          </w:p>
        </w:tc>
        <w:tc>
          <w:tcPr>
            <w:tcW w:type="dxa" w:w="19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0,01874</w:t>
            </w:r>
          </w:p>
        </w:tc>
        <w:tc>
          <w:tcPr>
            <w:tcW w:type="dxa" w:w="19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0,0000</w:t>
            </w:r>
          </w:p>
        </w:tc>
        <w:tc>
          <w:tcPr>
            <w:tcW w:type="dxa" w:w="17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Laut Banda bagian selatan</w:t>
            </w:r>
          </w:p>
        </w:tc>
      </w:tr>
      <w:tr>
        <w:tc>
          <w:tcPr>
            <w:tcW w:type="dxa" w:w="18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1_126</w:t>
            </w:r>
          </w:p>
        </w:tc>
        <w:tc>
          <w:tcPr>
            <w:tcW w:type="dxa" w:w="17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8</w:t>
            </w:r>
          </w:p>
        </w:tc>
        <w:tc>
          <w:tcPr>
            <w:tcW w:type="dxa" w:w="19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0,01805</w:t>
            </w:r>
          </w:p>
        </w:tc>
        <w:tc>
          <w:tcPr>
            <w:tcW w:type="dxa" w:w="19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0,0000</w:t>
            </w:r>
          </w:p>
        </w:tc>
        <w:tc>
          <w:tcPr>
            <w:tcW w:type="dxa" w:w="17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Sulawesi Utara</w:t>
            </w:r>
          </w:p>
        </w:tc>
      </w:tr>
      <w:tr>
        <w:tc>
          <w:tcPr>
            <w:tcW w:type="dxa" w:w="18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–7_130</w:t>
            </w:r>
          </w:p>
        </w:tc>
        <w:tc>
          <w:tcPr>
            <w:tcW w:type="dxa" w:w="17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10</w:t>
            </w:r>
          </w:p>
        </w:tc>
        <w:tc>
          <w:tcPr>
            <w:tcW w:type="dxa" w:w="19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0,01654</w:t>
            </w:r>
          </w:p>
        </w:tc>
        <w:tc>
          <w:tcPr>
            <w:tcW w:type="dxa" w:w="19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0,0000</w:t>
            </w:r>
          </w:p>
        </w:tc>
        <w:tc>
          <w:tcPr>
            <w:tcW w:type="dxa" w:w="17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Laut Banda bagian timur</w:t>
            </w:r>
          </w:p>
        </w:tc>
      </w:tr>
      <w:tr>
        <w:tc>
          <w:tcPr>
            <w:tcW w:type="dxa" w:w="18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0_126</w:t>
            </w:r>
          </w:p>
        </w:tc>
        <w:tc>
          <w:tcPr>
            <w:tcW w:type="dxa" w:w="17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9</w:t>
            </w:r>
          </w:p>
        </w:tc>
        <w:tc>
          <w:tcPr>
            <w:tcW w:type="dxa" w:w="19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0,01527</w:t>
            </w:r>
          </w:p>
        </w:tc>
        <w:tc>
          <w:tcPr>
            <w:tcW w:type="dxa" w:w="19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0,0000</w:t>
            </w:r>
          </w:p>
        </w:tc>
        <w:tc>
          <w:tcPr>
            <w:tcW w:type="dxa" w:w="17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Teluk Tomini</w:t>
            </w:r>
          </w:p>
        </w:tc>
      </w:tr>
      <w:tr>
        <w:tc>
          <w:tcPr>
            <w:tcW w:type="dxa" w:w="18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2_126</w:t>
            </w:r>
          </w:p>
        </w:tc>
        <w:tc>
          <w:tcPr>
            <w:tcW w:type="dxa" w:w="17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9</w:t>
            </w:r>
          </w:p>
        </w:tc>
        <w:tc>
          <w:tcPr>
            <w:tcW w:type="dxa" w:w="19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0,01296</w:t>
            </w:r>
          </w:p>
        </w:tc>
        <w:tc>
          <w:tcPr>
            <w:tcW w:type="dxa" w:w="19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0,0000</w:t>
            </w:r>
          </w:p>
        </w:tc>
        <w:tc>
          <w:tcPr>
            <w:tcW w:type="dxa" w:w="17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Laut Sulawesi</w:t>
            </w:r>
          </w:p>
        </w:tc>
      </w:tr>
    </w:tbl>
    <w:p>
      <w:pPr>
        <w:spacing w:after="120" w:line="276"/>
        <w:jc w:val="both"/>
      </w:pPr>
      <w:r>
        <w:rPr>
          <w:rFonts w:ascii="Times New Roman" w:cs="Times New Roman" w:eastAsia="Times New Roman" w:hAnsi="Times New Roman"/>
          <w:sz w:val="24"/>
          <w:szCs w:val="24"/>
        </w:rPr>
        <w:t xml:space="preserve">Zona dengan nilai PageRank tertinggi terpusat di wilayah Laut Banda dan Sulawesi. Pemusatan tersebut selaras dengan kondisi tektonik kedua wilayah itu yang merupakan zona pertemuan rumit antara Lempeng Eurasia, Lempeng Pasifik, dan Lempeng Indo-Australia sehingga aktivitas seismiknya tinggi dan saling terkait dengan zona sekitarnya.</w:t>
      </w:r>
    </w:p>
    <w:p>
      <w:pPr>
        <w:spacing w:after="120" w:line="276"/>
        <w:jc w:val="both"/>
      </w:pPr>
      <w:r>
        <w:rPr>
          <w:rFonts w:ascii="Times New Roman" w:cs="Times New Roman" w:eastAsia="Times New Roman" w:hAnsi="Times New Roman"/>
          <w:sz w:val="24"/>
          <w:szCs w:val="24"/>
        </w:rPr>
        <w:t xml:space="preserve">Hal yang menarik dari Tabel 16 adalah nilai keperantaraan yang bernilai nol pada seluruh lima zona teratas. Pada pandangan pertama hal itu tampak bertentangan karena zona dengan derajat tinggi diharapkan juga memiliki keperantaraan tinggi. Pemeriksaan lebih lanjut menunjukkan bahwa kelima zona tersebut berada di dalam klaster padat yang setiap pasangan zonanya telah terhubung langsung sehingga tidak ada jalur terpendek yang harus melewati zona tersebut sebagai perantara.</w:t>
      </w:r>
    </w:p>
    <w:p>
      <w:pPr>
        <w:spacing w:after="120" w:line="276"/>
        <w:jc w:val="both"/>
      </w:pPr>
      <w:r>
        <w:rPr>
          <w:rFonts w:ascii="Times New Roman" w:cs="Times New Roman" w:eastAsia="Times New Roman" w:hAnsi="Times New Roman"/>
          <w:sz w:val="24"/>
          <w:szCs w:val="24"/>
        </w:rPr>
        <w:t xml:space="preserve">Zona dengan keperantaraan tertinggi justru merupakan zona berderajat rendah, yaitu zona –4_122 dengan derajat empat dan nilai keperantaraan 0,3316, disusul zona –5_121 dan –6_122. Zona tersebut berada di wilayah Selat Sunda dan pesisir barat Sumatera bagian selatan serta berfungsi sebagai penghubung antara klaster Sumatera dan klaster Jawa. Dari 430 zona, terdapat 245 zona dengan nilai keperantaraan positif.</w:t>
      </w:r>
    </w:p>
    <w:p>
      <w:pPr>
        <w:spacing w:after="120" w:line="276"/>
        <w:jc w:val="both"/>
      </w:pPr>
      <w:r>
        <w:rPr>
          <w:rFonts w:ascii="Times New Roman" w:cs="Times New Roman" w:eastAsia="Times New Roman" w:hAnsi="Times New Roman"/>
          <w:sz w:val="24"/>
          <w:szCs w:val="24"/>
        </w:rPr>
        <w:t xml:space="preserve">Perbedaan antara zona berperingkat tinggi menurut PageRank dan zona berperingkat tinggi menurut keperantaraan memiliki implikasi operasional yang berlainan. Zona dengan PageRank tinggi merupakan pusat aktivitas yang memerlukan pemantauan intensif karena frekuensi kejadiannya tinggi. Sebaliknya, zona dengan keperantaraan tinggi merupakan penghubung antarklaster yang strategis bagi pemantauan perambatan aktivitas karena gangguan pada zona tersebut berpotensi memutus atau menjembatani aliran aktivitas antarwilayah.</w:t>
      </w:r>
    </w:p>
    <w:p>
      <w:pPr>
        <w:pStyle w:val="Heading3"/>
        <w:spacing w:after="100" w:before="180"/>
      </w:pPr>
      <w:r>
        <w:rPr>
          <w:rFonts w:ascii="Times New Roman" w:cs="Times New Roman" w:eastAsia="Times New Roman" w:hAnsi="Times New Roman"/>
          <w:b/>
          <w:bCs/>
          <w:sz w:val="24"/>
          <w:szCs w:val="24"/>
        </w:rPr>
        <w:t xml:space="preserve">Temuan Ketiga: Struktur Komunitas</w:t>
      </w:r>
    </w:p>
    <w:p>
      <w:pPr>
        <w:spacing w:after="120" w:line="276"/>
        <w:jc w:val="both"/>
      </w:pPr>
      <w:r>
        <w:rPr>
          <w:rFonts w:ascii="Times New Roman" w:cs="Times New Roman" w:eastAsia="Times New Roman" w:hAnsi="Times New Roman"/>
          <w:sz w:val="24"/>
          <w:szCs w:val="24"/>
        </w:rPr>
        <w:t xml:space="preserve">Algoritme Louvain mengidentifikasi 89 komunitas dalam graf spasial-temporal. Jumlah komunitas yang melampaui jumlah komponen terhubung menunjukkan bahwa komponen besar yang mencakup 349 zona memiliki struktur dalam yang terbagi menjadi beberapa subkelompok. Subkelompok tersebut mewakili wilayah yang aktivitas seismiknya saling terkait lebih erat dibandingkan dengan wilayah di luar kelompoknya.</w:t>
      </w:r>
    </w:p>
    <w:p>
      <w:pPr>
        <w:spacing w:after="120" w:line="276"/>
        <w:jc w:val="both"/>
      </w:pPr>
      <w:r>
        <w:rPr>
          <w:rFonts w:ascii="Times New Roman" w:cs="Times New Roman" w:eastAsia="Times New Roman" w:hAnsi="Times New Roman"/>
          <w:sz w:val="24"/>
          <w:szCs w:val="24"/>
        </w:rPr>
        <w:t xml:space="preserve">Struktur komunitas tersebut dapat dimanfaatkan sebagai dasar penyusunan unit pemantauan regional. Alih-alih membagi wilayah pemantauan berdasarkan batas administratif yang tidak berkaitan dengan struktur tektonik, pembagian berdasarkan komunitas seismik akan menghasilkan unit yang lebih padu secara geofisika.</w:t>
      </w:r>
    </w:p>
    <w:p>
      <w:pPr>
        <w:pStyle w:val="Heading3"/>
        <w:spacing w:after="100" w:before="180"/>
      </w:pPr>
      <w:r>
        <w:rPr>
          <w:rFonts w:ascii="Times New Roman" w:cs="Times New Roman" w:eastAsia="Times New Roman" w:hAnsi="Times New Roman"/>
          <w:b/>
          <w:bCs/>
          <w:sz w:val="24"/>
          <w:szCs w:val="24"/>
        </w:rPr>
        <w:t xml:space="preserve">Temuan Keempat: Wilayah Multihazard</w:t>
      </w:r>
    </w:p>
    <w:p>
      <w:pPr>
        <w:spacing w:after="120" w:line="276"/>
        <w:jc w:val="both"/>
      </w:pPr>
      <w:r>
        <w:rPr>
          <w:rFonts w:ascii="Times New Roman" w:cs="Times New Roman" w:eastAsia="Times New Roman" w:hAnsi="Times New Roman"/>
          <w:sz w:val="24"/>
          <w:szCs w:val="24"/>
        </w:rPr>
        <w:t xml:space="preserve">Analisis derajat pada graf dua partit mengungkap bahwa sebelas dari 430 wilayah memiliki derajat sembilan. Artinya, wilayah tersebut mengalami seluruh sembilan kategori karakteristik hazard yang didefinisikan, yaitu gempa dangkal, menengah, dan dalam, dengan magnitudo yang mencakup keempat pita dari 4,0 hingga di atas 6,5, serta memiliki riwayat kejadian berpotensi tsunami.</w:t>
      </w:r>
    </w:p>
    <w:p>
      <w:pPr>
        <w:spacing w:after="120" w:line="276"/>
        <w:jc w:val="both"/>
      </w:pPr>
      <w:r>
        <w:rPr>
          <w:rFonts w:ascii="Times New Roman" w:cs="Times New Roman" w:eastAsia="Times New Roman" w:hAnsi="Times New Roman"/>
          <w:sz w:val="24"/>
          <w:szCs w:val="24"/>
        </w:rPr>
        <w:t xml:space="preserve">Wilayah dengan derajat sembilan mencakup zona –1_121, 1_126, –3_138, 2_126, dan 2_128 yang secara geografis berada di sekitar Sulawesi, Laut Maluku, dan Papua bagian utara. Adapun 419 wilayah lainnya memiliki derajat delapan yang umumnya berarti tidak memiliki riwayat kejadian berpotensi tsunami.</w:t>
      </w:r>
    </w:p>
    <w:p>
      <w:pPr>
        <w:spacing w:after="120" w:line="276"/>
        <w:jc w:val="both"/>
      </w:pPr>
      <w:r>
        <w:rPr>
          <w:rFonts w:ascii="Times New Roman" w:cs="Times New Roman" w:eastAsia="Times New Roman" w:hAnsi="Times New Roman"/>
          <w:sz w:val="24"/>
          <w:szCs w:val="24"/>
        </w:rPr>
        <w:t xml:space="preserve">Temuan tersebut memberikan sudut pandang yang berbeda dari analisis berbasis frekuensi semata. Wilayah dengan frekuensi kejadian tinggi belum tentu merupakan wilayah dengan keragaman hazard tertinggi, dan sebaliknya. Wilayah yang mengalami seluruh jenis karakteristik hazard memerlukan strategi mitigasi yang lebih menyeluruh karena harus menyiapkan kesiapsiagaan terhadap berbagai skenario, mulai dari gempa dangkal berkekuatan menengah yang sering terjadi hingga gempa besar berpotensi tsunami yang jarang, tetapi berdampak sangat merusak.</w:t>
      </w:r>
    </w:p>
    <w:p>
      <w:pPr>
        <w:pStyle w:val="Heading3"/>
        <w:spacing w:after="100" w:before="180"/>
      </w:pPr>
      <w:r>
        <w:rPr>
          <w:rFonts w:ascii="Times New Roman" w:cs="Times New Roman" w:eastAsia="Times New Roman" w:hAnsi="Times New Roman"/>
          <w:b/>
          <w:bCs/>
          <w:sz w:val="24"/>
          <w:szCs w:val="24"/>
        </w:rPr>
        <w:t xml:space="preserve">Sintesis Temuan Graph Analytics</w:t>
      </w:r>
    </w:p>
    <w:p>
      <w:pPr>
        <w:spacing w:after="120" w:line="276"/>
        <w:jc w:val="both"/>
      </w:pPr>
      <w:r>
        <w:rPr>
          <w:rFonts w:ascii="Times New Roman" w:cs="Times New Roman" w:eastAsia="Times New Roman" w:hAnsi="Times New Roman"/>
          <w:sz w:val="24"/>
          <w:szCs w:val="24"/>
        </w:rPr>
        <w:t xml:space="preserve">Keempat temuan tersebut secara bersama-sama menghasilkan kerangka penentuan prioritas yang lebih kaya daripada pendekatan klasifikasi tunggal. Klasifikasi Machine Learning pada Bab V menghasilkan penilaian risiko per kejadian berdasarkan atribut kejadian dan riwayat aktivitas zona. Analisis graf melengkapi penilaian tersebut dengan tiga dimensi tambahan, yaitu kedudukan zona dalam jaringan aktivitas melalui metrik sentralitas, keanggotaan zona dalam kelompok aktivitas terkait melalui deteksi komunitas, serta keragaman karakteristik hazard melalui analisis graf dua partit.</w:t>
      </w:r>
    </w:p>
    <w:p>
      <w:pPr>
        <w:spacing w:after="120" w:line="276"/>
        <w:jc w:val="both"/>
      </w:pPr>
      <w:r>
        <w:rPr>
          <w:rFonts w:ascii="Times New Roman" w:cs="Times New Roman" w:eastAsia="Times New Roman" w:hAnsi="Times New Roman"/>
          <w:sz w:val="24"/>
          <w:szCs w:val="24"/>
        </w:rPr>
        <w:t xml:space="preserve">Gabungan ketiga dimensi tersebut memungkinkan penyusunan prioritas yang mempertimbangkan bukan hanya seberapa sering dan seberapa besar kejadian di suatu wilayah, melainkan juga seberapa strategis kedudukan wilayah tersebut dalam jaringan seismik dan seberapa beragam ancaman yang dihadapinya. Kerangka tersebut juga membantu menutupi keterbatasan model klasifikasi yang telah dicatat pada Subbab 5.6, khususnya bagi 238 zona berfrekuensi rendah yang labelnya tidak bervariasi: bagi zona tersebut, metrik sentralitas dan keanggotaan komunitas memberikan informasi risiko yang tidak dapat disediakan model klasifikasi.</w:t>
      </w:r>
    </w:p>
    <w:sectPr>
      <w:footerReference w:type="default" r:id="rId7"/>
      <w:pgSz w:w="11906" w:h="16838" w:orient="portrait"/>
      <w:pgMar w:top="1440" w:right="1440"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b44dd27fbda3f65f7f1b1ab5389f77d929c41e6.png"/><Relationship Id="rId9" Type="http://schemas.openxmlformats.org/officeDocument/2006/relationships/image" Target="media/ac9c5cf86f8e24190ceef645c0c2a313d99297b1.png"/><Relationship Id="rId10" Type="http://schemas.openxmlformats.org/officeDocument/2006/relationships/image" Target="media/2e7872d5c9696c7e617f5bc47f98fae8d5e1e085.png"/><Relationship Id="rId11" Type="http://schemas.openxmlformats.org/officeDocument/2006/relationships/image" Target="media/1d13a6bf6c67b57c872173d5946e76aaef696201.png"/><Relationship Id="rId12" Type="http://schemas.openxmlformats.org/officeDocument/2006/relationships/image" Target="media/c7e8d8767348b1eba14cd5887a3373f7b3e7bd3a.png"/><Relationship Id="rId13" Type="http://schemas.openxmlformats.org/officeDocument/2006/relationships/image" Target="media/092b8d8ac715475010d26a0b10d2fda76dd4ea4e.png"/><Relationship Id="rId14" Type="http://schemas.openxmlformats.org/officeDocument/2006/relationships/image" Target="media/a294fa491d7b09e84b2e8a020eebb796711a136e.png"/><Relationship Id="rId15" Type="http://schemas.openxmlformats.org/officeDocument/2006/relationships/image" Target="media/3a7120d7ff1f69e2e365a9dffb8afce2e628d13f.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2026-08-04T08:30:34.187Z</dcterms:created>
  <dcterms:modified xsi:type="dcterms:W3CDTF">2026-08-04T08:30:34.193Z</dcterms:modified>
</cp:coreProperties>
</file>

<file path=docProps/custom.xml><?xml version="1.0" encoding="utf-8"?>
<Properties xmlns="http://schemas.openxmlformats.org/officeDocument/2006/custom-properties" xmlns:vt="http://schemas.openxmlformats.org/officeDocument/2006/docPropsVTypes"/>
</file>