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pStyle w:val="Title"/>
        <w:jc w:val="center"/>
      </w:pPr>
      <w:r>
        <w:t>Function 1 Commentary</w:t>
      </w:r>
    </w:p>
    <w:p>
      <w:pPr>
        <w:pStyle w:val="Heading1"/>
      </w:pPr>
      <w:r>
        <w:t>Analysis of Strategy Effectiveness and New Query Point</w:t>
      </w:r>
    </w:p>
    <w:p>
      <w:pPr/>
      <w:r>
        <w:t>Effectiveness of the Strategy:</w:t>
        <w:br/>
        <w:t>1. Acquisition Function Behavior:</w:t>
        <w:br/>
        <w:t xml:space="preserve">   - Expected Improvement (EI) was near zero across most of the space because the best observed output was extremely small (~9e-119).</w:t>
        <w:br/>
        <w:t xml:space="preserve">   - Upper Confidence Bound (UCB) highlighted areas with high uncertainty, which dominated since we only had one observed point.</w:t>
        <w:br/>
        <w:br/>
        <w:t>2. GP Posterior Analysis:</w:t>
        <w:br/>
        <w:t xml:space="preserve">   - The GP posterior mean was almost flat near zero, reflecting minimal knowledge about the function.</w:t>
        <w:br/>
        <w:t xml:space="preserve">   - Uncertainty was very high everywhere except near the observed point [0.460943, 0.014981].</w:t>
        <w:br/>
        <w:br/>
        <w:t>3. Hybrid Strategy Outcome:</w:t>
        <w:br/>
        <w:t xml:space="preserve">   - The hybrid approach combined exploration (via UCB) and exploitation (via EI), but given the poor initial observation, exploration dominated.</w:t>
        <w:br/>
        <w:t xml:space="preserve">   - The new query point was selected from regions with high uncertainty and potential improvement, which aligns with the strategy’s goal of avoiding premature convergence.</w:t>
        <w:br/>
        <w:br/>
        <w:t>Comment on New Query Point:</w:t>
        <w:br/>
        <w:t>- Coordinates: [0.000845, 0.982625] (close to the upper edge of X2 and near zero for X1).</w:t>
        <w:br/>
        <w:t>- Interpretation:</w:t>
        <w:br/>
        <w:t xml:space="preserve">   - This point is far from the initial observation, which is good for exploration.</w:t>
        <w:br/>
        <w:t xml:space="preserve">   - It lies in a region where the GP model predicts high uncertainty, so sampling here will significantly reduce uncertainty and improve the surrogate model.</w:t>
        <w:br/>
        <w:t>- Strategic Value:</w:t>
        <w:br/>
        <w:t xml:space="preserve">   - This choice reflects the hybrid strategy’s effectiveness: it prioritizes exploration when exploitation is not promising.</w:t>
        <w:br/>
        <w:t xml:space="preserve">   - If the true function has strong variation along X2, this query could reveal valuable information.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