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2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grid.</w:t>
        <w:br/>
        <w:t xml:space="preserve">   - EI favored regions with potential improvement over the best observed output (~0.081),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 (initial dataset + new point), the GP model had more structure than Function 1.</w:t>
        <w:br/>
        <w:t xml:space="preserve">   - The posterior mean showed variation across the input space, indicating the model is learning the function shape.</w:t>
        <w:br/>
        <w:t xml:space="preserve">   - Uncertainty was reduced near observed points but remained high in unexplored regions.</w:t>
        <w:br/>
        <w:br/>
        <w:t>3. Hybrid Strategy Outcome:</w:t>
        <w:br/>
        <w:t xml:space="preserve">   - The new query [0.9940, 0.1804] is far from the initial observation, targeting a region with high uncertainty and potential improvement.</w:t>
        <w:br/>
        <w:t xml:space="preserve">   - This reflects the hybrid strategy’s goal: avoid local exploitation and explore promising areas.</w:t>
        <w:br/>
        <w:br/>
        <w:t>Comment on New Query Point:</w:t>
        <w:br/>
        <w:t>- Coordinates: [0.9940, 0.1804] (near the upper edge of X1 and lower edge of X2).</w:t>
        <w:br/>
        <w:t>- Interpretation:</w:t>
        <w:br/>
        <w:t xml:space="preserve">   - This point lies in a region where the GP predicts higher uncertainty and possibly better performance than the current best.</w:t>
        <w:br/>
        <w:t xml:space="preserve">   - Sampling here will improve the surrogate model and may discover higher outputs.</w:t>
        <w:br/>
        <w:t>- Strategic Value:</w:t>
        <w:br/>
        <w:t xml:space="preserve">   - The choice demonstrates effective exploration, which is crucial early in optimization.</w:t>
        <w:br/>
        <w:t xml:space="preserve">   - If the function has strong variation along X1,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