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pStyle w:val="Title"/>
        <w:jc w:val="center"/>
      </w:pPr>
      <w:r>
        <w:t>Function 8 Commentary</w:t>
      </w:r>
    </w:p>
    <w:p>
      <w:pPr>
        <w:pStyle w:val="Heading1"/>
      </w:pPr>
      <w:r>
        <w:t>Analysis of Strategy Effectiveness and New Query Point</w:t>
      </w:r>
    </w:p>
    <w:p>
      <w:pPr/>
      <w:r>
        <w:t>Effectiveness of the Strategy:</w:t>
        <w:br/>
        <w:t>1. Acquisition Function Behavior:</w:t>
        <w:br/>
        <w:t xml:space="preserve">   - EI and UCB were computed across a candidate grid in 8D space.</w:t>
        <w:br/>
        <w:t xml:space="preserve">   - EI favored regions with potential improvement over the best observed output (6.15), while UCB highlighted areas with high uncertainty.</w:t>
        <w:br/>
        <w:t xml:space="preserve">   - The hybrid approach combined both, ensuring exploration and exploitation balance.</w:t>
        <w:br/>
        <w:br/>
        <w:t>2. GP Posterior Analysis:</w:t>
        <w:br/>
        <w:t xml:space="preserve">   - With multiple observed points, the GP model captured some structure of the function.</w:t>
        <w:br/>
        <w:t xml:space="preserve">   - The posterior mean showed variation across dimensions, indicating learning progress.</w:t>
        <w:br/>
        <w:t xml:space="preserve">   - Uncertainty remained high in unexplored regions, especially near extremes of input dimensions.</w:t>
        <w:br/>
        <w:br/>
        <w:t>3. Hybrid Strategy Outcome:</w:t>
        <w:br/>
        <w:t xml:space="preserve">   - The new query [0.3695, 0.1194, 0.1889, 0.4529, 0.4392, 0.5639, 0.2837, 0.7351] is far from the initial observation, targeting a region with high uncertainty and potential improvement.</w:t>
        <w:br/>
        <w:t xml:space="preserve">   - This reflects the hybrid strategy’s goal: avoid local exploitation and explore promising areas.</w:t>
        <w:br/>
        <w:br/>
        <w:t>Comment on New Query Point:</w:t>
        <w:br/>
        <w:t>- Coordinates: [0.3695, 0.1194, 0.1889, 0.4529, 0.4392, 0.5639, 0.2837, 0.7351] (spread across low-to-mid ranges for most dimensions, high for last dimension).</w:t>
        <w:br/>
        <w:t>- Interpretation:</w:t>
        <w:br/>
        <w:t xml:space="preserve">   - This point lies in a region where the GP predicts higher uncertainty and possibly better performance than the current best.</w:t>
        <w:br/>
        <w:t xml:space="preserve">   - Sampling here will improve the surrogate model and may discover significantly better outputs.</w:t>
        <w:br/>
        <w:t>- Strategic Value:</w:t>
        <w:br/>
        <w:t xml:space="preserve">   - The choice demonstrates effective exploration in an 8D space, which is crucial for uncovering nonlinear interactions.</w:t>
        <w:br/>
        <w:t xml:space="preserve">   - If the function has strong variation across multiple dimensions, this query could reveal significant improvement.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