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D3C8A" w14:textId="77777777" w:rsidR="00641A30" w:rsidRDefault="00EB7FC3">
      <w:pPr>
        <w:pStyle w:val="Heading1"/>
      </w:pPr>
      <w:r>
        <w:t>Function_1_Week_4_Analysis</w:t>
      </w:r>
    </w:p>
    <w:p w14:paraId="3E4D3C8B" w14:textId="77777777" w:rsidR="00641A30" w:rsidRDefault="00EB7FC3">
      <w:pPr>
        <w:pStyle w:val="Heading2"/>
      </w:pPr>
      <w:r>
        <w:t>1) Week 3 Context and Findings</w:t>
      </w:r>
    </w:p>
    <w:p w14:paraId="3E4D3C8C" w14:textId="77777777" w:rsidR="00641A30" w:rsidRDefault="00EB7FC3">
      <w:r>
        <w:t>Week 3 introduced a Gaussian Process (GP) with a Matern kernel and Automatic Relevance Determination (ARD), plus a hybrid acquisition strategy combining global Latin Hypercube Sampling (LHS) and local trust-region perturbations. The EI/UCB surfaces highlighted an exploratory hotspot around x₁≈0.35–0.40 and x₂≈0.10–0.13, leading to the query 0.397715-0.130715.</w:t>
      </w:r>
    </w:p>
    <w:p w14:paraId="3E4D3C8D" w14:textId="77777777" w:rsidR="00641A30" w:rsidRDefault="00EB7FC3">
      <w:pPr>
        <w:pStyle w:val="Heading2"/>
      </w:pPr>
      <w:r>
        <w:t>2) Week 4 Charts: Key Observations</w:t>
      </w:r>
    </w:p>
    <w:p w14:paraId="3E4D3C8E" w14:textId="77777777" w:rsidR="00641A30" w:rsidRDefault="00EB7FC3">
      <w:r>
        <w:t xml:space="preserve">a) </w:t>
      </w:r>
      <w:r>
        <w:rPr>
          <w:b/>
          <w:bCs/>
        </w:rPr>
        <w:t>Data update and incumbent:</w:t>
      </w:r>
      <w:r>
        <w:t xml:space="preserve"> After appending the Week 3 query, the dataset has 13 points. The current best observed output remains 0.000000 at </w:t>
      </w:r>
      <w:proofErr w:type="spellStart"/>
      <w:r>
        <w:t>X_best</w:t>
      </w:r>
      <w:proofErr w:type="spellEnd"/>
      <w:r>
        <w:t xml:space="preserve"> ≈ [0.731024, 0.733].</w:t>
      </w:r>
    </w:p>
    <w:p w14:paraId="3E4D3C8F" w14:textId="77777777" w:rsidR="00641A30" w:rsidRDefault="00EB7FC3">
      <w:r>
        <w:t xml:space="preserve">b) </w:t>
      </w:r>
      <w:r>
        <w:rPr>
          <w:b/>
          <w:bCs/>
        </w:rPr>
        <w:t>Outcome of Week 3 exploratory query:</w:t>
      </w:r>
      <w:r>
        <w:t xml:space="preserve"> The point 0.397715-0.130715 returned an essentially zero value (≈ 2.55e-60), collapsing EI in that region and reducing posterior mean there.</w:t>
      </w:r>
    </w:p>
    <w:p w14:paraId="3E4D3C90" w14:textId="77777777" w:rsidR="00641A30" w:rsidRDefault="00EB7FC3">
      <w:r>
        <w:t xml:space="preserve">c) </w:t>
      </w:r>
      <w:r>
        <w:rPr>
          <w:b/>
          <w:bCs/>
        </w:rPr>
        <w:t>Acquisition surfaces and trust region:</w:t>
      </w:r>
      <w:r>
        <w:t xml:space="preserve"> Week 4 1D/2D slices and EI contours shift mass towards the incumbent </w:t>
      </w:r>
      <w:proofErr w:type="spellStart"/>
      <w:r>
        <w:t>neighbourhood</w:t>
      </w:r>
      <w:proofErr w:type="spellEnd"/>
      <w:r>
        <w:t>. The proposed top-5 queries cluster around x₁∈[0.758, 0.776] and x₂∈[0.761, 0.790], indicating targeted exploitation guided by trust-region candidates and SVM gating.</w:t>
      </w:r>
    </w:p>
    <w:p w14:paraId="3E4D3C91" w14:textId="77777777" w:rsidR="00641A30" w:rsidRDefault="00EB7FC3">
      <w:pPr>
        <w:pStyle w:val="Heading2"/>
      </w:pPr>
      <w:r>
        <w:t>3) Effectiveness of the Updated Strategy</w:t>
      </w:r>
    </w:p>
    <w:p w14:paraId="3E4D3C92" w14:textId="77777777" w:rsidR="00641A30" w:rsidRDefault="00EB7FC3">
      <w:r>
        <w:t>The strategy correctly executed an exploration step in Week 3 to test an under-sampled hotspot; the near-zero outcome provided negative evidence and appropriately reallocated acquisition mass towards the region surrounding the incumbent. In Week 4, the integration of SVM pre-filtering and ARD-based feature screening appears to focus candidate generation on promising areas, while still retaining a pool for ranking by EI/UCB.</w:t>
      </w:r>
    </w:p>
    <w:p w14:paraId="3E4D3C93" w14:textId="77777777" w:rsidR="00641A30" w:rsidRDefault="00EB7FC3">
      <w:pPr>
        <w:pStyle w:val="Heading2"/>
      </w:pPr>
      <w:r>
        <w:t>4) Comment on the Week 4 Proposed Query Point</w:t>
      </w:r>
    </w:p>
    <w:p w14:paraId="3E4D3C94" w14:textId="77777777" w:rsidR="00641A30" w:rsidRDefault="00EB7FC3">
      <w:r>
        <w:t xml:space="preserve">Top-1 proposed query: </w:t>
      </w:r>
      <w:r>
        <w:rPr>
          <w:b/>
          <w:bCs/>
        </w:rPr>
        <w:t>0.766097-0.782041</w:t>
      </w:r>
      <w:r>
        <w:t xml:space="preserve">. This selection is slightly above the incumbent coordinates and lies within the trust-region band where EI and UCB both peak. It is an appropriate exploitation step to validate whether a </w:t>
      </w:r>
      <w:proofErr w:type="spellStart"/>
      <w:r>
        <w:t>localised</w:t>
      </w:r>
      <w:proofErr w:type="spellEnd"/>
      <w:r>
        <w:t xml:space="preserve"> non-zero pocket exists near (0.73, 0.73). The remaining proposals (e.g., 0.772589-0.762575, 0.775642-0.761193, 0.759240-0.789655, 0.758323-0.768235) offer near-</w:t>
      </w:r>
      <w:proofErr w:type="spellStart"/>
      <w:r>
        <w:t>neighbour</w:t>
      </w:r>
      <w:proofErr w:type="spellEnd"/>
      <w:r>
        <w:t xml:space="preserve"> diversity and are suitable backups if the top-1 returns zero.</w:t>
      </w:r>
    </w:p>
    <w:p w14:paraId="3E4D3C95" w14:textId="77777777" w:rsidR="00641A30" w:rsidRDefault="00EB7FC3">
      <w:pPr>
        <w:pStyle w:val="Heading2"/>
      </w:pPr>
      <w:r>
        <w:lastRenderedPageBreak/>
        <w:t>5) Risks &amp; Mitigations</w:t>
      </w:r>
    </w:p>
    <w:p w14:paraId="3E4D3C96" w14:textId="77777777" w:rsidR="00641A30" w:rsidRDefault="00EB7FC3">
      <w:pPr>
        <w:pStyle w:val="ListParagraph"/>
        <w:numPr>
          <w:ilvl w:val="0"/>
          <w:numId w:val="2"/>
        </w:numPr>
      </w:pPr>
      <w:r>
        <w:rPr>
          <w:b/>
          <w:bCs/>
        </w:rPr>
        <w:t>Myopic exploitation:</w:t>
      </w:r>
      <w:r>
        <w:t xml:space="preserve"> If repeated zeros occur near the incumbent, EI may plateau. Mitigation: increase exploration parameters (e.g., UCB κ, EI ξ) and schedule a few global probes each round.</w:t>
      </w:r>
    </w:p>
    <w:p w14:paraId="3E4D3C97" w14:textId="77777777" w:rsidR="00641A30" w:rsidRDefault="00EB7FC3">
      <w:pPr>
        <w:pStyle w:val="ListParagraph"/>
        <w:numPr>
          <w:ilvl w:val="0"/>
          <w:numId w:val="2"/>
        </w:numPr>
      </w:pPr>
      <w:r>
        <w:rPr>
          <w:b/>
          <w:bCs/>
        </w:rPr>
        <w:t>Likelihood misspecification:</w:t>
      </w:r>
      <w:r>
        <w:t xml:space="preserve"> Near-binary/near-zero outputs can challenge Gaussian likelihoods. Mitigation: consider alternative likelihoods or transforms and maintain uncertainty-aware acquisition.</w:t>
      </w:r>
    </w:p>
    <w:p w14:paraId="3E4D3C98" w14:textId="77777777" w:rsidR="00641A30" w:rsidRDefault="00EB7FC3">
      <w:pPr>
        <w:pStyle w:val="ListParagraph"/>
        <w:numPr>
          <w:ilvl w:val="0"/>
          <w:numId w:val="2"/>
        </w:numPr>
      </w:pPr>
      <w:r>
        <w:rPr>
          <w:b/>
          <w:bCs/>
        </w:rPr>
        <w:t>Spatial sparsity:</w:t>
      </w:r>
      <w:r>
        <w:t xml:space="preserve"> If non-zero pockets are extremely sparse, retain at least 1–2 global LHS candidates per round to hedge against local trapping.</w:t>
      </w:r>
    </w:p>
    <w:p w14:paraId="3E4D3C99" w14:textId="77777777" w:rsidR="00641A30" w:rsidRDefault="00EB7FC3">
      <w:pPr>
        <w:pStyle w:val="Heading2"/>
      </w:pPr>
      <w:r>
        <w:t>6) Recommended Next Steps</w:t>
      </w:r>
    </w:p>
    <w:p w14:paraId="3E4D3C9A" w14:textId="77777777" w:rsidR="00641A30" w:rsidRDefault="00EB7FC3">
      <w:pPr>
        <w:pStyle w:val="ListParagraph"/>
        <w:numPr>
          <w:ilvl w:val="0"/>
          <w:numId w:val="3"/>
        </w:numPr>
      </w:pPr>
      <w:r>
        <w:t>Execute the top-1 query 0.766097-0.782041.</w:t>
      </w:r>
    </w:p>
    <w:p w14:paraId="3E4D3C9B" w14:textId="77777777" w:rsidR="00641A30" w:rsidRDefault="00EB7FC3">
      <w:pPr>
        <w:pStyle w:val="ListParagraph"/>
        <w:numPr>
          <w:ilvl w:val="0"/>
          <w:numId w:val="3"/>
        </w:numPr>
      </w:pPr>
      <w:r>
        <w:t>On receipt of the outcome, refit the GP and replot EI/UCB; compare acquisition mass in the (0.76–0.79, 0.76–0.79) band versus alternatives.</w:t>
      </w:r>
    </w:p>
    <w:p w14:paraId="3E4D3C9C" w14:textId="77777777" w:rsidR="00641A30" w:rsidRDefault="00EB7FC3">
      <w:pPr>
        <w:pStyle w:val="ListParagraph"/>
        <w:numPr>
          <w:ilvl w:val="0"/>
          <w:numId w:val="3"/>
        </w:numPr>
      </w:pPr>
      <w:r>
        <w:t xml:space="preserve">If zero, widen exploration by increasing κ (UCB) or ξ (EI) and add 1–2 global probes; if non-zero, tighten a trust region (±0.02–0.03) and run 1–2 exploitation-biased rounds to </w:t>
      </w:r>
      <w:proofErr w:type="spellStart"/>
      <w:r>
        <w:t>localise</w:t>
      </w:r>
      <w:proofErr w:type="spellEnd"/>
      <w:r>
        <w:t xml:space="preserve"> the source.</w:t>
      </w:r>
    </w:p>
    <w:p w14:paraId="3E4D3C9D" w14:textId="77777777" w:rsidR="00641A30" w:rsidRDefault="00EB7FC3">
      <w:pPr>
        <w:pStyle w:val="Heading2"/>
      </w:pPr>
      <w:r>
        <w:t>Appendix: Key Values from Week 4 Notebook</w:t>
      </w:r>
    </w:p>
    <w:p w14:paraId="3E4D3C9E" w14:textId="77777777" w:rsidR="00641A30" w:rsidRDefault="00EB7FC3">
      <w:pPr>
        <w:pStyle w:val="ListParagraph"/>
        <w:numPr>
          <w:ilvl w:val="0"/>
          <w:numId w:val="4"/>
        </w:numPr>
      </w:pPr>
      <w:r>
        <w:t>Dataset size after update: X: (13, 2), Y: (13,)</w:t>
      </w:r>
    </w:p>
    <w:p w14:paraId="3E4D3C9F" w14:textId="77777777" w:rsidR="00641A30" w:rsidRDefault="00EB7FC3">
      <w:pPr>
        <w:pStyle w:val="ListParagraph"/>
        <w:numPr>
          <w:ilvl w:val="0"/>
          <w:numId w:val="4"/>
        </w:numPr>
      </w:pPr>
      <w:r>
        <w:t xml:space="preserve">Current best Y: 0.000000 at </w:t>
      </w:r>
      <w:proofErr w:type="spellStart"/>
      <w:r>
        <w:t>X_best</w:t>
      </w:r>
      <w:proofErr w:type="spellEnd"/>
      <w:r>
        <w:t xml:space="preserve"> ≈ [0.731024, 0.733]</w:t>
      </w:r>
    </w:p>
    <w:p w14:paraId="3E4D3CA0" w14:textId="77777777" w:rsidR="00641A30" w:rsidRDefault="00EB7FC3">
      <w:pPr>
        <w:pStyle w:val="ListParagraph"/>
        <w:numPr>
          <w:ilvl w:val="0"/>
          <w:numId w:val="4"/>
        </w:numPr>
      </w:pPr>
      <w:r>
        <w:t>Week 3 query &amp; outcome: 0.397715-0.130715 → ~2.55e-60</w:t>
      </w:r>
    </w:p>
    <w:p w14:paraId="3E4D3CA1" w14:textId="77777777" w:rsidR="00641A30" w:rsidRDefault="00EB7FC3">
      <w:pPr>
        <w:pStyle w:val="ListParagraph"/>
        <w:numPr>
          <w:ilvl w:val="0"/>
          <w:numId w:val="4"/>
        </w:numPr>
      </w:pPr>
      <w:r>
        <w:t>Top-1 proposed query: 0.766097-0.782041</w:t>
      </w:r>
    </w:p>
    <w:p w14:paraId="3E4D3CA2" w14:textId="77777777" w:rsidR="00641A30" w:rsidRDefault="00EB7FC3">
      <w:pPr>
        <w:pStyle w:val="ListParagraph"/>
        <w:numPr>
          <w:ilvl w:val="0"/>
          <w:numId w:val="4"/>
        </w:numPr>
      </w:pPr>
      <w:r>
        <w:t>Top-5 proposals (EI order): 0.766097-0.782041; 0.772589-0.762575; 0.775642-0.761193; 0.759240-0.789655; 0.758323-0.768235</w:t>
      </w:r>
    </w:p>
    <w:p w14:paraId="3E4D3CA3" w14:textId="77777777" w:rsidR="00641A30" w:rsidRDefault="00EB7FC3">
      <w:pPr>
        <w:pStyle w:val="ListParagraph"/>
        <w:numPr>
          <w:ilvl w:val="0"/>
          <w:numId w:val="4"/>
        </w:numPr>
      </w:pPr>
      <w:r>
        <w:t xml:space="preserve">Method highlights: </w:t>
      </w:r>
      <w:proofErr w:type="spellStart"/>
      <w:r>
        <w:t>GP+Matern</w:t>
      </w:r>
      <w:proofErr w:type="spellEnd"/>
      <w:r>
        <w:t>(ARD), trust-region, LHS, SVM gating, EI/UCB ranking</w:t>
      </w:r>
    </w:p>
    <w:p w14:paraId="3E4D3CA4" w14:textId="77777777" w:rsidR="00641A30" w:rsidRDefault="00641A30">
      <w:pPr>
        <w:pBdr>
          <w:top w:val="single" w:sz="12" w:space="0" w:color="auto"/>
        </w:pBdr>
        <w:spacing w:after="0"/>
      </w:pPr>
    </w:p>
    <w:p w14:paraId="3E4D3CA5" w14:textId="77777777" w:rsidR="00641A30" w:rsidRDefault="00EB7FC3">
      <w:pPr>
        <w:pStyle w:val="Heading2"/>
      </w:pPr>
      <w:r>
        <w:t>7) Combined Insights and Recommendation Update</w:t>
      </w:r>
    </w:p>
    <w:p w14:paraId="3E4D3CA6" w14:textId="77777777" w:rsidR="00641A30" w:rsidRDefault="00EB7FC3">
      <w:r>
        <w:t>After reviewing Week 2, Week 3, and Week 4 analyses, the immediate recommendation remains unchanged: submit the Week 4 top-1 query (0.766097–0.782041). However, the combined evidence prompts strategic adjustments for subsequent rounds:</w:t>
      </w:r>
    </w:p>
    <w:p w14:paraId="3E4D3CA7" w14:textId="77777777" w:rsidR="00641A30" w:rsidRDefault="00EB7FC3">
      <w:pPr>
        <w:pStyle w:val="Heading3"/>
      </w:pPr>
      <w:r>
        <w:t>Recommended Adjustments:</w:t>
      </w:r>
    </w:p>
    <w:p w14:paraId="3E4D3CA8" w14:textId="77777777" w:rsidR="00641A30" w:rsidRDefault="00EB7FC3">
      <w:pPr>
        <w:pStyle w:val="ListParagraph"/>
        <w:numPr>
          <w:ilvl w:val="0"/>
          <w:numId w:val="5"/>
        </w:numPr>
      </w:pPr>
      <w:r>
        <w:t>Maintain a fixed exploration floor: include at least one global LHS probe each round.</w:t>
      </w:r>
    </w:p>
    <w:p w14:paraId="3E4D3CA9" w14:textId="77777777" w:rsidR="00641A30" w:rsidRDefault="00EB7FC3">
      <w:pPr>
        <w:pStyle w:val="ListParagraph"/>
        <w:numPr>
          <w:ilvl w:val="0"/>
          <w:numId w:val="5"/>
        </w:numPr>
      </w:pPr>
      <w:r>
        <w:t>Pre-commit decision rules: if Week 4 query returns zero, increase UCB κ and EI ξ; if non-zero, tighten trust region (±0.02–0.03).</w:t>
      </w:r>
    </w:p>
    <w:p w14:paraId="3E4D3CAA" w14:textId="77777777" w:rsidR="00641A30" w:rsidRDefault="00EB7FC3">
      <w:pPr>
        <w:pStyle w:val="ListParagraph"/>
        <w:numPr>
          <w:ilvl w:val="0"/>
          <w:numId w:val="5"/>
        </w:numPr>
      </w:pPr>
      <w:r>
        <w:lastRenderedPageBreak/>
        <w:t>Soften or disable SVM gating until a clear non-zero observation exists; keep ARD screening active.</w:t>
      </w:r>
    </w:p>
    <w:p w14:paraId="3E4D3CAB" w14:textId="77777777" w:rsidR="00641A30" w:rsidRDefault="00EB7FC3">
      <w:pPr>
        <w:pStyle w:val="ListParagraph"/>
        <w:numPr>
          <w:ilvl w:val="0"/>
          <w:numId w:val="5"/>
        </w:numPr>
      </w:pPr>
      <w:r>
        <w:t>Prepare alternative likelihood or transformation for GP if zeros persist.</w:t>
      </w:r>
    </w:p>
    <w:p w14:paraId="3E4D3CAC" w14:textId="77777777" w:rsidR="00641A30" w:rsidRDefault="00EB7FC3">
      <w:pPr>
        <w:pStyle w:val="ListParagraph"/>
        <w:numPr>
          <w:ilvl w:val="0"/>
          <w:numId w:val="5"/>
        </w:numPr>
      </w:pPr>
      <w:r>
        <w:t>Retain near-</w:t>
      </w:r>
      <w:proofErr w:type="spellStart"/>
      <w:r>
        <w:t>neighbour</w:t>
      </w:r>
      <w:proofErr w:type="spellEnd"/>
      <w:r>
        <w:t xml:space="preserve"> diversity around the incumbent for triangulation.</w:t>
      </w:r>
    </w:p>
    <w:p w14:paraId="3E4D3CAD" w14:textId="77777777" w:rsidR="00641A30" w:rsidRDefault="00EB7FC3">
      <w:pPr>
        <w:pStyle w:val="Heading3"/>
      </w:pPr>
      <w:r>
        <w:t>Next Steps:</w:t>
      </w:r>
    </w:p>
    <w:p w14:paraId="3E4D3CAE" w14:textId="77777777" w:rsidR="00641A30" w:rsidRDefault="00EB7FC3">
      <w:pPr>
        <w:pStyle w:val="ListParagraph"/>
        <w:numPr>
          <w:ilvl w:val="0"/>
          <w:numId w:val="6"/>
        </w:numPr>
      </w:pPr>
      <w:r>
        <w:t>Submit 0.766097–0.782041 as planned.</w:t>
      </w:r>
    </w:p>
    <w:p w14:paraId="3E4D3CAF" w14:textId="77777777" w:rsidR="00641A30" w:rsidRDefault="00EB7FC3">
      <w:pPr>
        <w:pStyle w:val="ListParagraph"/>
        <w:numPr>
          <w:ilvl w:val="0"/>
          <w:numId w:val="6"/>
        </w:numPr>
      </w:pPr>
      <w:r>
        <w:t>Re-fit GP and replot EI/UCB after new observation.</w:t>
      </w:r>
    </w:p>
    <w:p w14:paraId="3E4D3CB0" w14:textId="77777777" w:rsidR="00641A30" w:rsidRDefault="00EB7FC3">
      <w:pPr>
        <w:pStyle w:val="ListParagraph"/>
        <w:numPr>
          <w:ilvl w:val="0"/>
          <w:numId w:val="6"/>
        </w:numPr>
      </w:pPr>
      <w:r>
        <w:t>Apply contingency rules based on outcome (exploration boost or trust-region tightening).</w:t>
      </w:r>
    </w:p>
    <w:sectPr w:rsidR="00641A3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E75E1"/>
    <w:multiLevelType w:val="hybridMultilevel"/>
    <w:tmpl w:val="33ACBD2A"/>
    <w:lvl w:ilvl="0" w:tplc="6F08E10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ECE4A3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57A2F9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2AEA2A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96A695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9A080F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C40540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DF82E4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F14489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341724DE"/>
    <w:multiLevelType w:val="hybridMultilevel"/>
    <w:tmpl w:val="0EB6AC64"/>
    <w:lvl w:ilvl="0" w:tplc="ECFE8854">
      <w:start w:val="1"/>
      <w:numFmt w:val="bullet"/>
      <w:lvlText w:val="●"/>
      <w:lvlJc w:val="left"/>
      <w:pPr>
        <w:ind w:left="720" w:hanging="360"/>
      </w:pPr>
    </w:lvl>
    <w:lvl w:ilvl="1" w:tplc="6108F852">
      <w:start w:val="1"/>
      <w:numFmt w:val="bullet"/>
      <w:lvlText w:val="○"/>
      <w:lvlJc w:val="left"/>
      <w:pPr>
        <w:ind w:left="1440" w:hanging="360"/>
      </w:pPr>
    </w:lvl>
    <w:lvl w:ilvl="2" w:tplc="E2E61198">
      <w:start w:val="1"/>
      <w:numFmt w:val="bullet"/>
      <w:lvlText w:val="■"/>
      <w:lvlJc w:val="left"/>
      <w:pPr>
        <w:ind w:left="2160" w:hanging="360"/>
      </w:pPr>
    </w:lvl>
    <w:lvl w:ilvl="3" w:tplc="70CE0E6C">
      <w:start w:val="1"/>
      <w:numFmt w:val="bullet"/>
      <w:lvlText w:val="●"/>
      <w:lvlJc w:val="left"/>
      <w:pPr>
        <w:ind w:left="2880" w:hanging="360"/>
      </w:pPr>
    </w:lvl>
    <w:lvl w:ilvl="4" w:tplc="90D014D6">
      <w:start w:val="1"/>
      <w:numFmt w:val="bullet"/>
      <w:lvlText w:val="○"/>
      <w:lvlJc w:val="left"/>
      <w:pPr>
        <w:ind w:left="3600" w:hanging="360"/>
      </w:pPr>
    </w:lvl>
    <w:lvl w:ilvl="5" w:tplc="BB763DFE">
      <w:start w:val="1"/>
      <w:numFmt w:val="bullet"/>
      <w:lvlText w:val="■"/>
      <w:lvlJc w:val="left"/>
      <w:pPr>
        <w:ind w:left="4320" w:hanging="360"/>
      </w:pPr>
    </w:lvl>
    <w:lvl w:ilvl="6" w:tplc="BEDE047C">
      <w:start w:val="1"/>
      <w:numFmt w:val="bullet"/>
      <w:lvlText w:val="●"/>
      <w:lvlJc w:val="left"/>
      <w:pPr>
        <w:ind w:left="5040" w:hanging="360"/>
      </w:pPr>
    </w:lvl>
    <w:lvl w:ilvl="7" w:tplc="4A6ECDAC">
      <w:start w:val="1"/>
      <w:numFmt w:val="bullet"/>
      <w:lvlText w:val="●"/>
      <w:lvlJc w:val="left"/>
      <w:pPr>
        <w:ind w:left="5760" w:hanging="360"/>
      </w:pPr>
    </w:lvl>
    <w:lvl w:ilvl="8" w:tplc="D3EA383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DAC3BC3"/>
    <w:multiLevelType w:val="hybridMultilevel"/>
    <w:tmpl w:val="B20AA2CC"/>
    <w:lvl w:ilvl="0" w:tplc="FF784D3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8BE1FB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1AA809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076BF3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2F4C2F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A3C77F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74ECE8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CA2E44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FE60A3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493B21EA"/>
    <w:multiLevelType w:val="hybridMultilevel"/>
    <w:tmpl w:val="6E8EC712"/>
    <w:lvl w:ilvl="0" w:tplc="891C6820">
      <w:start w:val="1"/>
      <w:numFmt w:val="decimal"/>
      <w:lvlText w:val="%1."/>
      <w:lvlJc w:val="left"/>
      <w:pPr>
        <w:ind w:left="720" w:hanging="360"/>
      </w:pPr>
    </w:lvl>
    <w:lvl w:ilvl="1" w:tplc="FB98C164">
      <w:start w:val="1"/>
      <w:numFmt w:val="lowerLetter"/>
      <w:lvlText w:val="%2."/>
      <w:lvlJc w:val="left"/>
      <w:pPr>
        <w:ind w:left="1440" w:hanging="360"/>
      </w:pPr>
    </w:lvl>
    <w:lvl w:ilvl="2" w:tplc="D43ED3F4">
      <w:start w:val="1"/>
      <w:numFmt w:val="lowerRoman"/>
      <w:lvlText w:val="%3."/>
      <w:lvlJc w:val="right"/>
      <w:pPr>
        <w:ind w:left="2160" w:hanging="180"/>
      </w:pPr>
    </w:lvl>
    <w:lvl w:ilvl="3" w:tplc="B3647F98">
      <w:start w:val="1"/>
      <w:numFmt w:val="decimal"/>
      <w:lvlText w:val="%4."/>
      <w:lvlJc w:val="left"/>
      <w:pPr>
        <w:ind w:left="2880" w:hanging="360"/>
      </w:pPr>
    </w:lvl>
    <w:lvl w:ilvl="4" w:tplc="4974622C">
      <w:start w:val="1"/>
      <w:numFmt w:val="lowerLetter"/>
      <w:lvlText w:val="%5."/>
      <w:lvlJc w:val="left"/>
      <w:pPr>
        <w:ind w:left="3600" w:hanging="360"/>
      </w:pPr>
    </w:lvl>
    <w:lvl w:ilvl="5" w:tplc="C3E6E1EA">
      <w:start w:val="1"/>
      <w:numFmt w:val="lowerRoman"/>
      <w:lvlText w:val="%6."/>
      <w:lvlJc w:val="right"/>
      <w:pPr>
        <w:ind w:left="4320" w:hanging="180"/>
      </w:pPr>
    </w:lvl>
    <w:lvl w:ilvl="6" w:tplc="93688410">
      <w:start w:val="1"/>
      <w:numFmt w:val="decimal"/>
      <w:lvlText w:val="%7."/>
      <w:lvlJc w:val="left"/>
      <w:pPr>
        <w:ind w:left="5040" w:hanging="360"/>
      </w:pPr>
    </w:lvl>
    <w:lvl w:ilvl="7" w:tplc="BC78E0E6">
      <w:start w:val="1"/>
      <w:numFmt w:val="lowerLetter"/>
      <w:lvlText w:val="%8."/>
      <w:lvlJc w:val="left"/>
      <w:pPr>
        <w:ind w:left="5760" w:hanging="360"/>
      </w:pPr>
    </w:lvl>
    <w:lvl w:ilvl="8" w:tplc="664035F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B61AF2"/>
    <w:multiLevelType w:val="hybridMultilevel"/>
    <w:tmpl w:val="DC80AAFA"/>
    <w:lvl w:ilvl="0" w:tplc="DBB09FF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C90887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8CE138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E4A381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1E2A38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DAC2B1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E709F7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53055C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62A0DF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7EE02354"/>
    <w:multiLevelType w:val="hybridMultilevel"/>
    <w:tmpl w:val="0AAA61E2"/>
    <w:lvl w:ilvl="0" w:tplc="7950670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C5605A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2EEBDA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D7AD7A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F2E569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9A8C38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3A4418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6C2961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9E4333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1573664494">
    <w:abstractNumId w:val="1"/>
    <w:lvlOverride w:ilvl="0">
      <w:startOverride w:val="1"/>
    </w:lvlOverride>
  </w:num>
  <w:num w:numId="2" w16cid:durableId="1584680487">
    <w:abstractNumId w:val="2"/>
  </w:num>
  <w:num w:numId="3" w16cid:durableId="15279108">
    <w:abstractNumId w:val="3"/>
  </w:num>
  <w:num w:numId="4" w16cid:durableId="2030788624">
    <w:abstractNumId w:val="0"/>
  </w:num>
  <w:num w:numId="5" w16cid:durableId="1087506451">
    <w:abstractNumId w:val="5"/>
  </w:num>
  <w:num w:numId="6" w16cid:durableId="7998081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1A30"/>
    <w:rsid w:val="000D55A3"/>
    <w:rsid w:val="00416754"/>
    <w:rsid w:val="00641A30"/>
    <w:rsid w:val="00EB7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D3C8A"/>
  <w15:docId w15:val="{68F500DC-EE3A-493A-A4F6-E42DD02F0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663</Words>
  <Characters>3785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</vt:lpstr>
    </vt:vector>
  </TitlesOfParts>
  <Company/>
  <LinksUpToDate>false</LinksUpToDate>
  <CharactersWithSpaces>4440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Antonius Meliat</cp:lastModifiedBy>
  <cp:revision>2</cp:revision>
  <dcterms:created xsi:type="dcterms:W3CDTF">2026-01-06T12:35:00Z</dcterms:created>
  <dcterms:modified xsi:type="dcterms:W3CDTF">2026-01-06T12:35:00Z</dcterms:modified>
</cp:coreProperties>
</file>