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Function_7_Week_4_Analysis</w:t>
      </w:r>
    </w:p>
    <w:p>
      <w:r>
        <w:t>This report analyses the Week 4 output charts for Function 7 (6D), evaluates the effectiveness of the hybrid Bayesian optimisation strategy, and comments on the newly proposed query point. It incorporates insights from the Week 3 analysis to explain how the surrogate and acquisition surfaces have evolved.</w:t>
      </w:r>
    </w:p>
    <w:p>
      <w:pPr>
        <w:pStyle w:val="Heading1"/>
      </w:pPr>
      <w:r>
        <w:t>1) Week 3 Context and Findings</w:t>
      </w:r>
    </w:p>
    <w:p>
      <w:r>
        <w:t>Week 3 appended a positive observation at [0.028395, 0.132829, 0.443077, 0.340963, 0.462184, 0.869064] with Y ≈ 1.410573, which sharpened the GP posterior and concentrated EI along a ridge with high x6 and mid–high x3, while x1, x2, x4, x5 remained in low–mid bands. The portal suggestion 0.050799–0.219675–0.658786–0.283849–0.429209–0.860711 reflected an information-rich probe on this ridge.</w:t>
      </w:r>
    </w:p>
    <w:p>
      <w:pPr>
        <w:pStyle w:val="Heading1"/>
      </w:pPr>
      <w:r>
        <w:t>2) Week 4 Charts: Key Observations</w:t>
      </w:r>
    </w:p>
    <w:p>
      <w:r>
        <w:t>- Dataset update: after appending the Week 3/portal suggestion, shapes are X: (33, 6), Y: (33).</w:t>
      </w:r>
    </w:p>
    <w:p>
      <w:r>
        <w:t>- Current best: Y ≈ 1.695379 at X_best ≈ [0.050799, 0.219675, 0.658786, 0.283849, 0.429209, 0.860711] (idx 32).</w:t>
      </w:r>
    </w:p>
    <w:p>
      <w:r>
        <w:t>- Proposed Week 4 candidates (top-5 by EI) concentrate near low–mid x1–x5, with x3 fixed at ≈0.341567 and x6 high (≈0.82–0.97); portal top‑1 is 0.040131–0.349218–0.341567–0.252173–0.334346–0.927918.</w:t>
      </w:r>
    </w:p>
    <w:p>
      <w:pPr>
        <w:pStyle w:val="Heading1"/>
      </w:pPr>
      <w:r>
        <w:t>3) Effectiveness of the Updated Strategy</w:t>
      </w:r>
    </w:p>
    <w:p>
      <w:r>
        <w:t>Effectiveness is strong: Week 3 generated a higher incumbent and clearer structure; Week 4 continues a coherent refinement by keeping x6 high while testing a lower x3 slice (≈0.34) and adjusting the remaining dimensions within low–mid ranges. This balances exploitation on the high‑x6 ridge with directed exploration along x3, appropriate for a 6D surface with local peaks.</w:t>
      </w:r>
    </w:p>
    <w:p>
      <w:pPr>
        <w:pStyle w:val="Heading1"/>
      </w:pPr>
      <w:r>
        <w:t>4) Comment on the Week 4 Proposed Query Point</w:t>
      </w:r>
    </w:p>
    <w:p>
      <w:r>
        <w:t>Top‑1 proposed query: 0.040131–0.349218–0.341567–0.252173–0.334346–0.927918. This candidate maintains a high x6 (≈0.93) while moving x3 to ~0.34 and stepping x1–x5 into complementary low–mid ranges, probing whether the performance ridge bends toward lower x3. If this surpasses 1.695379, follow with trust‑region tightening (±0.03) to localise the peak.</w:t>
      </w:r>
    </w:p>
    <w:p>
      <w:pPr>
        <w:pStyle w:val="Heading1"/>
      </w:pPr>
      <w:r>
        <w:t>5) Risks &amp; Mitigations</w:t>
      </w:r>
    </w:p>
    <w:p>
      <w:r>
        <w:t>- Over‑commitment to a single ridge: retain at least one global LHS probe per round to hedge against missed modes.</w:t>
      </w:r>
    </w:p>
    <w:p>
      <w:r>
        <w:t>- Acquisition saturation or uncertainty dominance: increase UCB κ and/or EI ξ if EI flattens.</w:t>
      </w:r>
    </w:p>
    <w:p>
      <w:r>
        <w:t>- High‑D stability: verify Y standardisation and noise bounds to avoid artefacts that could distort EI ranking.</w:t>
      </w:r>
    </w:p>
    <w:p>
      <w:pPr>
        <w:pStyle w:val="Heading1"/>
      </w:pPr>
      <w:r>
        <w:t>6) Recommended Next Steps</w:t>
      </w:r>
    </w:p>
    <w:p>
      <w:r>
        <w:t>1) Submit the top‑1 query 0.040131–0.349218–0.341567–0.252173–0.334346–0.927918.</w:t>
      </w:r>
    </w:p>
    <w:p>
      <w:r>
        <w:t>2) Refit the GP after the outcome; replot EI/UCB and compare mass near the low‑x3 slice versus the prior mid–high x3 ridge.</w:t>
      </w:r>
    </w:p>
    <w:p>
      <w:r>
        <w:t>3) If improvement is observed, lock a ±0.03 trust region and run 1–2 exploitation‑biased rounds; if not, widen exploration (increase κ/ξ) and test a contrasting slice (e.g., lower x6).</w:t>
      </w:r>
    </w:p>
    <w:p>
      <w:pPr>
        <w:pStyle w:val="Heading1"/>
      </w:pPr>
      <w:r>
        <w:t>Appendix: Key Values from Week 4 Notebook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 size after update</w:t>
            </w:r>
          </w:p>
        </w:tc>
        <w:tc>
          <w:tcPr>
            <w:tcW w:type="dxa" w:w="4320"/>
          </w:tcPr>
          <w:p>
            <w:r>
              <w:t>X: (33, 6), Y: (33,)</w:t>
            </w:r>
          </w:p>
        </w:tc>
      </w:tr>
      <w:tr>
        <w:tc>
          <w:tcPr>
            <w:tcW w:type="dxa" w:w="4320"/>
          </w:tcPr>
          <w:p>
            <w:r>
              <w:t>Current best Y &amp; location</w:t>
            </w:r>
          </w:p>
        </w:tc>
        <w:tc>
          <w:tcPr>
            <w:tcW w:type="dxa" w:w="4320"/>
          </w:tcPr>
          <w:p>
            <w:r>
              <w:t>1.695379 @ [0.050799, 0.219675, 0.658786, 0.283849, 0.429209, 0.860711]</w:t>
            </w:r>
          </w:p>
        </w:tc>
      </w:tr>
      <w:tr>
        <w:tc>
          <w:tcPr>
            <w:tcW w:type="dxa" w:w="4320"/>
          </w:tcPr>
          <w:p>
            <w:r>
              <w:t>Week 3 best &amp; context</w:t>
            </w:r>
          </w:p>
        </w:tc>
        <w:tc>
          <w:tcPr>
            <w:tcW w:type="dxa" w:w="4320"/>
          </w:tcPr>
          <w:p>
            <w:r>
              <w:t>1.410573 @ [0.028395, 0.132829, 0.443077, 0.340963, 0.462184, 0.869064]</w:t>
            </w:r>
          </w:p>
        </w:tc>
      </w:tr>
      <w:tr>
        <w:tc>
          <w:tcPr>
            <w:tcW w:type="dxa" w:w="4320"/>
          </w:tcPr>
          <w:p>
            <w:r>
              <w:t>Week 4 top‑1 proposed query</w:t>
            </w:r>
          </w:p>
        </w:tc>
        <w:tc>
          <w:tcPr>
            <w:tcW w:type="dxa" w:w="4320"/>
          </w:tcPr>
          <w:p>
            <w:r>
              <w:t>0.040131–0.349218–0.341567–0.252173–0.334346–0.927918</w:t>
            </w:r>
          </w:p>
        </w:tc>
      </w:tr>
      <w:tr>
        <w:tc>
          <w:tcPr>
            <w:tcW w:type="dxa" w:w="4320"/>
          </w:tcPr>
          <w:p>
            <w:r>
              <w:t>Week 4 EI‑ranked top‑5</w:t>
            </w:r>
          </w:p>
        </w:tc>
        <w:tc>
          <w:tcPr>
            <w:tcW w:type="dxa" w:w="4320"/>
          </w:tcPr>
          <w:p>
            <w:r>
              <w:t>All near low–mid x1–x5 with x3≈0.341567; x6 high (≈0.82–0.97)</w:t>
            </w:r>
          </w:p>
        </w:tc>
      </w:tr>
      <w:tr>
        <w:tc>
          <w:tcPr>
            <w:tcW w:type="dxa" w:w="4320"/>
          </w:tcPr>
          <w:p>
            <w:r>
              <w:t>Method highlights</w:t>
            </w:r>
          </w:p>
        </w:tc>
        <w:tc>
          <w:tcPr>
            <w:tcW w:type="dxa" w:w="4320"/>
          </w:tcPr>
          <w:p>
            <w:r>
              <w:t>GP+Matern(ARD), trust‑region, LHS, SVM gating, EI/UCB ranking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