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Function_2_Week_10_Analysis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Strategy effectiveness: </w:t>
      </w:r>
      <w:r>
        <w:t>Standard BO continues to be effective for Function 2. The optimiser is refining along the boundary ridge at x₂≈1.0 with tiny, coherent steps in x₁, exactly as expected in late-stage exploitation. Diversity remains intentionally tight, signalling precise boundary tuning rather than broad exploration.</w:t>
      </w:r>
    </w:p>
    <w:p>
      <w:pPr>
        <w:pStyle w:val="Heading1"/>
      </w:pPr>
      <w:r>
        <w:t>Week 10 charts — key diagnostics</w:t>
      </w:r>
    </w:p>
    <w:p>
      <w:r>
        <w:rPr>
          <w:b/>
        </w:rPr>
        <w:t xml:space="preserve">New observation (from Week 9 submission): </w:t>
      </w:r>
      <w:r>
        <w:t>X = [0.686249, 0.999999], Y ≈ 0.608439.</w:t>
        <w:br/>
      </w:r>
      <w:r>
        <w:rPr>
          <w:b/>
        </w:rPr>
        <w:t xml:space="preserve">Current diversity (top‑k set): </w:t>
      </w:r>
      <w:r>
        <w:t>mean pairwise distance = 0.0023; per‑dimension std = [0.002, 0.0].</w:t>
        <w:br/>
      </w:r>
      <w:r>
        <w:rPr>
          <w:b/>
        </w:rPr>
        <w:t>Proposed next queries (top 5):</w:t>
      </w:r>
    </w:p>
    <w:p>
      <w:pPr>
        <w:pStyle w:val="ListNumber"/>
      </w:pPr>
      <w:r>
        <w:t>1. 0.686231-0.999999</w:t>
      </w:r>
    </w:p>
    <w:p>
      <w:pPr>
        <w:pStyle w:val="ListNumber"/>
      </w:pPr>
      <w:r>
        <w:t>2. 0.684941-0.999999</w:t>
      </w:r>
    </w:p>
    <w:p>
      <w:pPr>
        <w:pStyle w:val="ListNumber"/>
      </w:pPr>
      <w:r>
        <w:t>3. 0.684443-0.999999</w:t>
      </w:r>
    </w:p>
    <w:p>
      <w:pPr>
        <w:pStyle w:val="ListNumber"/>
      </w:pPr>
      <w:r>
        <w:t>4. 0.687907-0.999999</w:t>
      </w:r>
    </w:p>
    <w:p>
      <w:pPr>
        <w:pStyle w:val="ListNumber"/>
      </w:pPr>
      <w:r>
        <w:t>5. 0.688786-0.999999</w:t>
      </w:r>
    </w:p>
    <w:p>
      <w:pPr>
        <w:pStyle w:val="Heading1"/>
      </w:pPr>
      <w:r>
        <w:t>Comparison to Week 9 (context)</w:t>
      </w:r>
    </w:p>
    <w:p>
      <w:r>
        <w:rPr>
          <w:b/>
        </w:rPr>
        <w:t xml:space="preserve">Incumbent (Week 9): </w:t>
      </w:r>
      <w:r>
        <w:t>best Y ≈ 0.623402 at X ≈ [0.689861, 0.998699]. Diversity then was mean pairwise ≈ 0.0014, per‑dim std ≈ [0.001, 0.0].</w:t>
        <w:br/>
      </w:r>
      <w:r>
        <w:rPr>
          <w:b/>
        </w:rPr>
        <w:t xml:space="preserve">Trend: </w:t>
      </w:r>
      <w:r>
        <w:t>Week 10 shows similarly tight diversity (0.0014 → 0.0023), confirming stable ridge exploitation. The new Y (≈0.6084) is close to, but slightly below, the Week 9 incumbent (≈0.6234), so the incumbent likely remains unchanged.</w:t>
      </w:r>
    </w:p>
    <w:p>
      <w:pPr>
        <w:pStyle w:val="Heading1"/>
      </w:pPr>
      <w:r>
        <w:t>Effectiveness of the current strategy</w:t>
      </w:r>
    </w:p>
    <w:p>
      <w:pPr>
        <w:pStyle w:val="ListBullet"/>
      </w:pPr>
      <w:r>
        <w:t>Late‑stage exploitation is working: EI/UCB are producing near‑neighbour points with consistent ordering and sensible boundary behaviour.</w:t>
      </w:r>
    </w:p>
    <w:p>
      <w:pPr>
        <w:pStyle w:val="ListBullet"/>
      </w:pPr>
      <w:r>
        <w:t>The extremely small spread (per‑dim std ≈ [0.002, 0.000]) is expected for boundary refinement and indicates the model still sees signal there.</w:t>
      </w:r>
    </w:p>
    <w:p>
      <w:pPr>
        <w:pStyle w:val="ListBullet"/>
      </w:pPr>
      <w:r>
        <w:t>Guard‑rail: retain a small perturbation below the boundary (e.g., x₂≈0.996) in each batch to ensure we do not miss a narrow off‑boundary peak.</w:t>
      </w:r>
    </w:p>
    <w:p>
      <w:pPr>
        <w:pStyle w:val="Heading1"/>
      </w:pPr>
      <w:r>
        <w:t>Comment on the new query point</w:t>
      </w:r>
    </w:p>
    <w:p>
      <w:r>
        <w:t>The Week 9 submission 0.686249-0.999999 returned Y ≈ 0.608439. This is a strong, near‑incumbent value that validates continued refinement at x₂≈1.0 while nudging x₁ within the observed high‑value strip (≈0.684–0.689).</w:t>
      </w:r>
    </w:p>
    <w:p>
      <w:pPr>
        <w:pStyle w:val="Heading1"/>
      </w:pPr>
      <w:r>
        <w:t>Recommendations for Week 11</w:t>
      </w:r>
    </w:p>
    <w:p>
      <w:pPr>
        <w:pStyle w:val="ListBullet"/>
      </w:pPr>
      <w:r>
        <w:t>Submit the top candidate 0.686231-0.999999 to continue boundary ridge exploitation.</w:t>
      </w:r>
    </w:p>
    <w:p>
      <w:pPr>
        <w:pStyle w:val="ListBullet"/>
      </w:pPr>
      <w:r>
        <w:t>Keep a single off‑boundary probe each batch (e.g., change x₂ from 1.000000 to ~0.996000) to confirm there is no nearby superior point just below the boundary.</w:t>
      </w:r>
    </w:p>
    <w:p>
      <w:pPr>
        <w:pStyle w:val="ListBullet"/>
      </w:pPr>
      <w:r>
        <w:t>Maintain a large global pool and a small trust radius; keep perturbation rate around 0.05.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