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Function_1_Week_11_Analysis</w:t>
      </w:r>
    </w:p>
    <w:p>
      <w:r>
        <w:t>Executive summary</w:t>
        <w:br/>
        <w:t>Week 11 confirms that the Function 1 strategy continues to behave as intended and remains effective when judged against its stated objective: maintaining broad geometric coverage in a low-dimensional, near-flat optimisation landscape. Relative to Week 10, diversity has remained high and balanced across both dimensions, ARD continues to recognise both variables as relevant, and the optimiser is systematically probing distinct regions of the search space rather than over-exploiting any single basin. The newly proposed query point is consistent with the deliberate exploration-first philosophy adopted for Function 1.</w:t>
      </w:r>
    </w:p>
    <w:p>
      <w:r>
        <w:t>Context from Week 10</w:t>
        <w:br/>
        <w:t>In Week 10, the Function 1 strategy explicitly prioritised Max–Min geometric exploration with SVM gating disabled and a large global candidate pool. This approach proved effective: mean pairwise distance increased to approximately 0.7827 and per-dimension standard deviations rose to roughly [0.36, 0.387]. The observed objective values remained close to zero, which was interpreted as an inherent property of Function 1 rather than a sign of algorithmic failure. ARD diagnostics confirmed that both x1 and x2 were informative, with x1 showing higher relative sensitivity. The Week 10 analysis concluded that success should be evaluated by coverage and uncertainty reduction, not immediate performance gain.</w:t>
      </w:r>
    </w:p>
    <w:p>
      <w:r>
        <w:t>Week 11 chart analysis and comparison</w:t>
        <w:br/>
        <w:t>The Week 11 diagnostics align closely with this prior assessment. Top-k candidate dispersion remains strong, with per-dimension standard deviations of approximately 0.348 in x1 and 0.373 in x2, closely matching and stabilising the gains achieved in Week 10. The mean pairwise distance of about 0.7708 further confirms that candidate diversity has been preserved rather than eroded. Compared directly with Week 10, there is no indication of geometric collapse or premature convergence; instead, the optimiser appears to have entered a steady exploratory regime.</w:t>
      </w:r>
    </w:p>
    <w:p>
      <w:r>
        <w:t>ARD and acquisition behaviour</w:t>
        <w:br/>
        <w:t>ARD sensitivities in Week 11 again retain both dimensions, with relative sensitivity near 1.0 for x1 and around 0.54 for x2. This mirrors the Week 10 conclusion that both variables contribute meaningfully to the surrogate model and that continued two-dimensional exploration is justified. The EI distribution shows modest but non-zero values clustered in a narrow band, consistent with a mature optimisation process on a near-flat surface. The accompanying UCB distribution exhibits clearer separation, indicating that uncertainty is now the primary driver of candidate differentiation, not expected improvement alone. This behaviour is appropriate at this stage and consistent with the intended exploration bias.</w:t>
      </w:r>
    </w:p>
    <w:p>
      <w:r>
        <w:t>Geometric structure and clustering</w:t>
        <w:br/>
        <w:t>The PCA-to-2D plus KMeans plot shows two clearly separated clusters, confirming that the candidate set spans multiple regions of the design space. This reinforces the earlier Week 10 conclusion that Max–Min style sampling is working as intended. In both weeks, the optimiser has avoided repeated sampling of interior points and continues to allocate queries toward corners, edges, and mixed extremes, which is desirable given the lack of strong gradients in the objective.</w:t>
      </w:r>
    </w:p>
    <w:p>
      <w:r>
        <w:t>Commentary on the new query point</w:t>
        <w:br/>
        <w:t>The current incumbent remains X ≈ [0.731, 0.733] with Y ≈ 0.000000, consistent with the near-zero outputs observed in previous weeks. The newly proposed top-1 query for Week 11, 0.014636-0.695996, represents a substantial departure from the incumbent along the x1 dimension while maintaining x2 in a mid–high region. This choice directly reflects both the ARD signal (x1 remaining important) and the uncertainty-driven UCB ranking. Compared to the Week 10 recommendation to probe a corner region, this point continues the planned alternation between corners and mixed interior–edge locations. It is neither redundant with recent samples nor overly extreme, and therefore serves as a sensible next probe to reduce residual uncertainty.</w:t>
      </w:r>
    </w:p>
    <w:p>
      <w:r>
        <w:t>Overall assessment</w:t>
        <w:br/>
        <w:t>Factoring in the Week 10 analysis, Week 11 demonstrates continuity rather than correction. The Function 1 strategy has stabilised into an effective exploration regime, maintaining high diversity and systematically reducing uncertainty across the domain. The absence of performance gains should be expected for this function and should not be interpreted negatively. The new query point is well aligned with the long-term exploration objective and does not warrant manual override or strategy revision at this stage.</w:t>
      </w:r>
    </w:p>
    <w:p>
      <w:r>
        <w:t>Conclusion</w:t>
        <w:br/>
        <w:t>Week 11 reinforces the conclusions drawn in Week 10: for Function 1, effectiveness is defined by coverage and robustness, not immediate improvement. The optimiser continues to meet this criterion, and the proposed submission for Week 11 is justified both geometrically and diagnostically. Maintaining the current configuration into the next round remains the appropriate course of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