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Function_2_Week_11_Analysis</w:t>
      </w:r>
    </w:p>
    <w:p>
      <w:r>
        <w:t>Executive summary</w:t>
        <w:br/>
        <w:t>Week 11 confirms and strengthens the conclusions reached in Week 10: Function 2 has entered a stable late-stage exploitation regime along a narrow boundary ridge at x₂ ≈ 1.0. The optimisation strategy remains effective when judged against its intended goal of precise refinement rather than broad exploration. Automatic relevance determination (ARD) has now decisively identified x₁ as the dominant dimension, further formalising the effective reduction of the problem to a one‑dimensional search. The new query point is coherent with this diagnosis and appropriately incremental.</w:t>
      </w:r>
    </w:p>
    <w:p>
      <w:r>
        <w:t>Context from Week 10</w:t>
        <w:br/>
        <w:t>In Week 10, the optimiser was already refining tightly along the x₂ ≈ 1.0 boundary, with mean pairwise distance around 0.0023 and per‑dimension standard deviations of approximately [0.002, 0.0]. The Week 9 submission (0.686249, 0.999999) returned Y ≈ 0.6084, confirming that small adjustments in x₁ near the upper x₂ boundary produced meaningful but diminishing gains. The Week 10 analysis explicitly noted that this behaviour represented correct late‑stage exploitation rather than stagnation, and recommended continuing boundary refinement with occasional off‑boundary checks as a guard‑rail.</w:t>
      </w:r>
    </w:p>
    <w:p>
      <w:r>
        <w:t>Week 11 diagnostics and comparison</w:t>
        <w:br/>
        <w:t>The Week 11 output closely mirrors and extends the Week 10 pattern. Top‑k diversity remains extremely tight, with per‑dimension standard deviations of approximately [0.002, 0.0] and a mean pairwise distance of about 0.0021. This slight numerical change relative to Week 10 is not meaningful in practice and confirms that the optimiser is continuing to operate within the same narrow high‑value strip along x₁. The explicit warning about insufficient points to assess spread is expected in this regime and is consistent with the deliberate collapse of diversity during exploitation.</w:t>
      </w:r>
    </w:p>
    <w:p>
      <w:r>
        <w:t>ARD and acquisition behaviour</w:t>
        <w:br/>
        <w:t>A key development in Week 11 is the clarity of the ARD signal. Dimension 1 exhibits very high absolute sensitivity (≈16.76) with relative importance normalised to 1.0, while dimension 2 shows negligible sensitivity (≈0.46, relative ≈0.03) and is correctly discarded. This formalises what was already implied in Week 10: Function 2 is effectively one‑dimensional in the region of interest. The EI and UCB distributions reinforce this interpretation. Expected Improvement values are narrowly concentrated around ≈0.067–0.068 and UCB values lie in a tight band around ≈1.96–1.97, indicating high surrogate confidence and only marginal potential for improvement. This acquisition behaviour is entirely consistent with a near‑converged BO state.</w:t>
      </w:r>
    </w:p>
    <w:p>
      <w:r>
        <w:t>Geometric structure and clustering</w:t>
        <w:br/>
        <w:t>The PCA‑to‑2D plus KMeans plot shows candidates forming very tight clusters with minimal separation in principal‑component space. Given that PCA is effectively projecting a near‑1D manifold, this clustering serves mainly as confirmation that multiple disjoint regions are not being overlooked. Relative to Week 10, there is no evidence of new structure emerging; instead, the geometric picture reinforces continuity and stability.</w:t>
      </w:r>
    </w:p>
    <w:p>
      <w:r>
        <w:t>Commentary on the new query point</w:t>
        <w:br/>
        <w:t>The selected Week 11 portal submission, (0.687907, 0.999999), lies squarely within the refined x₁ interval identified across Weeks 9–11 (approximately 0.684–0.689). It is also close to the previous incumbent around x₁ ≈ 0.6899, differing by an amount consistent with EI‑driven local optimisation rather than random perturbation. In light of the ARD result that x₂ is negligible, fixing x₂ at its upper bound is fully justified. As with the Week 10 submission, this query is expected to produce either a small incremental gain or a confirming plateau; in both cases it adds value by sharpening the surrogate’s posterior around the apparent optimum.</w:t>
      </w:r>
    </w:p>
    <w:p>
      <w:r>
        <w:t>Overall assessment</w:t>
        <w:br/>
        <w:t>When viewed alongside the Week 10 analysis, Week 11 represents continuity rather than correction. The Function 2 strategy is behaving exactly as intended for a low‑dimensional problem approaching convergence: diversity collapses, ARD clarifies dimensional relevance, and acquisitions focus on near‑neighbour refinement. There is no indication of pathological behaviour, premature collapse, or missed global structure. The new query point is well‑motivated diagnostically and strategically, and no strategy change is warranted at this stage.</w:t>
      </w:r>
    </w:p>
    <w:p>
      <w:r>
        <w:t>Conclusion</w:t>
        <w:br/>
        <w:t>Week 11 strengthens the Week 10 conclusion that Function 2 has effectively reduced to a one‑dimensional boundary‑ridge optimisation problem. The current Bayesian optimisation strategy remains effective, and the proposed query point is an appropriate continuation of disciplined exploitation. Maintaining the current configuration, with at most an occasional off‑boundary probe as a safety check, remains the correct course of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