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Function_3_Week_11_Analysis</w:t>
      </w:r>
    </w:p>
    <w:p>
      <w:pPr>
        <w:pStyle w:val="Heading2"/>
      </w:pPr>
      <w:r>
        <w:t>Effectiveness of the Function 3 Strategy</w:t>
      </w:r>
    </w:p>
    <w:p>
      <w:r>
        <w:t>Function 3 is designed as an exploration-leaning Bayesian Optimisation strategy intended to build a reliable global picture of the response surface before aggressive exploitation. In the Week 10 analysis, this strategy was found to be effective at maintaining candidate diversity and avoiding premature convergence, even when early improvements were modest. The Week 11 outputs continue to support this assessment. The diagnostic charts indicate that the acquisition landscape remains structured rather than collapsed, suggesting that the surrogate model is still learning meaningful trends across the domain rather than overfitting to the current best region.</w:t>
      </w:r>
    </w:p>
    <w:p>
      <w:pPr>
        <w:pStyle w:val="Heading2"/>
      </w:pPr>
      <w:r>
        <w:t>Comparison with Week 10 Behaviour</w:t>
      </w:r>
    </w:p>
    <w:p>
      <w:r>
        <w:t>In Week 10, Function 3 displayed broadly distributed candidate proposals with relatively flat Expected Improvement profiles, reflecting deliberate exploration in the face of uncertainty. The Week 11 charts show a similar pattern: EI values remain spread across multiple regions rather than concentrated around a single point, and UCB profiles show non-uniform structure. This consistency indicates that Function 3 has preserved its exploratory intent and has not drifted toward exploitative behaviour prematurely.</w:t>
      </w:r>
    </w:p>
    <w:p>
      <w:pPr>
        <w:pStyle w:val="Heading2"/>
      </w:pPr>
      <w:r>
        <w:t>Interpretation of the Output Charts</w:t>
      </w:r>
    </w:p>
    <w:p>
      <w:r>
        <w:t>The Week 11 EI and UCB charts for Function 3 suggest that uncertainty remains significant across the search space. Rather than collapsing to near-zero EI (which would indicate near-convergence), the EI curves retain visible variation, implying continued scope for information gain. The UCB behaviour reinforces this view by highlighting regions where uncertainty, rather than mean prediction alone, is driving candidate selection. Together, these patterns confirm that the strategy is successfully balancing coverage with model refinement.</w:t>
      </w:r>
    </w:p>
    <w:p>
      <w:pPr>
        <w:pStyle w:val="Heading2"/>
      </w:pPr>
      <w:r>
        <w:t>Assessment of the New Query Point</w:t>
      </w:r>
    </w:p>
    <w:p>
      <w:r>
        <w:t>The newly proposed query point should be interpreted as an information-seeking move rather than a direct attempt to outperform the current incumbent. Consistent with Function 3's design and its Week 10 behaviour, the proposed point appears positioned in a region where surrogate uncertainty is meaningful. This makes it valuable from a learning perspective, as it helps reduce epistemic uncertainty and improves the quality of future surrogate predictions, even if immediate performance gains are uncertain.</w:t>
      </w:r>
    </w:p>
    <w:p>
      <w:pPr>
        <w:pStyle w:val="Heading2"/>
      </w:pPr>
      <w:r>
        <w:t>Overall Evaluation</w:t>
      </w:r>
    </w:p>
    <w:p>
      <w:r>
        <w:t>Considering both Week 10 and Week 11 analyses, Function 3 remains effective in fulfilling its intended role within the broader optimisation portfolio. While it does not aggressively chase the current best value, it provides essential exploratory pressure that supports downstream exploitative strategies. The Week 11 results confirm that the strategy continues to act as a stable and reliable exploration mechanism, contributing long-term value to the optimisation process rather than short-term gains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