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Function_4_Week_11_Analysis</w:t>
      </w:r>
    </w:p>
    <w:p>
      <w:pPr>
        <w:pStyle w:val="Heading2"/>
      </w:pPr>
      <w:r>
        <w:t>Effectiveness of the Function 4 Strategy</w:t>
      </w:r>
    </w:p>
    <w:p>
      <w:r>
        <w:t>Function 4 continues to operate as a robust Bayesian Optimisation strategy designed to balance local exploitation with controlled exploration. In Week 10, the analysis highlighted that Function 4 had converged onto a high-performing ridge, particularly along the third and fourth dimensions, with behaviour dominated by exploitation and minimal exploratory drift. The Week 11 results confirm that this convergence has been maintained while correcting earlier structural issues related to dimensionality handling. The optimiser now consistently operates in the intended 4-dimensional space, ensuring that exploitation occurs within the full decision domain rather than a reduced subspace.</w:t>
      </w:r>
    </w:p>
    <w:p>
      <w:pPr>
        <w:pStyle w:val="Heading2"/>
      </w:pPr>
      <w:r>
        <w:t>Comparison with Week 10 Behaviour</w:t>
      </w:r>
    </w:p>
    <w:p>
      <w:r>
        <w:t>In the Week 10 analysis, Function 4 showed strong exploitation, with candidate points tightly clustered around the incumbent solution and frequent saturation of the third dimension near its upper bound. That behaviour was appropriate given the maturity of the optimisation process but raised concerns about potential over-commitment to a narrow region of the search space. In Week 11, while the optimiser remains exploitative, the updated diagnostics show slightly increased variation in the first and fourth dimensions. This indicates that the strategy has retained sensitivity to local uncertainty and has not fully collapsed into a degenerate ridge-following mode.</w:t>
      </w:r>
    </w:p>
    <w:p>
      <w:pPr>
        <w:pStyle w:val="Heading2"/>
      </w:pPr>
      <w:r>
        <w:t>Assessment of the New Query Point</w:t>
      </w:r>
    </w:p>
    <w:p>
      <w:r>
        <w:t>The newly proposed top-1 query, [0.015004, 0.675829, 0.936435, 0.350461], differs notably from the Week 10 incumbent. While remaining close to the ridge in the third dimension, the optimiser has moved substantially in the first and fourth dimensions. This suggests that the surrogate model has identified residual uncertainty or potential gains away from the precise location of the previous best. The move is therefore not random exploration, but a calculated local step intended to probe neighbouring regions of the ridge structure. Such behaviour is desirable at this stage, as it helps validate whether the apparent optimum is truly locally maximal or if nearby configurations can yield further improvements.</w:t>
      </w:r>
    </w:p>
    <w:p>
      <w:pPr>
        <w:pStyle w:val="Heading2"/>
      </w:pPr>
      <w:r>
        <w:t>Role of Diagnostics and Diversity</w:t>
      </w:r>
    </w:p>
    <w:p>
      <w:r>
        <w:t>The Week 11 diagnostics reinforce the effectiveness of the strategy. Expected Improvement values, though small, remain non-zero, indicating that the surrogate continues to express meaningful gradients in the acquisition landscape. Upper Confidence Bound values are tightly clustered, reflecting reduced uncertainty, yet not uniformly flat. Diversity metrics show non-zero standard deviation across all four dimensions and a healthy mean pairwise distance among the top candidates. This confirms that Function 4 is neither over-exploring nor prematurely collapsing its search space.</w:t>
      </w:r>
    </w:p>
    <w:p>
      <w:pPr>
        <w:pStyle w:val="Heading2"/>
      </w:pPr>
      <w:r>
        <w:t>Overall Evaluation</w:t>
      </w:r>
    </w:p>
    <w:p>
      <w:r>
        <w:t>Taken together, the Week 11 results demonstrate that Function 4 is performing as intended. Compared with Week 10, the strategy has preserved its strong exploitative focus while improving structural correctness and maintaining controlled local exploration. The new query point represents a sensible, information-driven test of the local neighbourhood around the incumbent solution. Overall, Function 4 remains an effective and stable optimisation strategy, well-suited to late-stage refinement of high-performing regions in the search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