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Function_5_Week_11_Analysis</w:t>
      </w:r>
    </w:p>
    <w:p>
      <w:r>
        <w:br/>
        <w:t>1. Overview</w:t>
        <w:br/>
        <w:t>Function 5 continues to employ a hybrid Bayesian Optimisation strategy combining Gaussian Process surrogates, Expected Improvement (EI) and Upper Confidence Bound (UCB) acquisition functions, ARD-based feature sensitivity screening, SVM gating, global exploration, trust-region refinement, and controlled perturbations. Week 11 represents a consolidation and validation step following the exploratory emphasis highlighted in Week 10.</w:t>
      </w:r>
    </w:p>
    <w:p>
      <w:r>
        <w:t>2. Interpretation of Week 11 Output Charts</w:t>
        <w:br/>
        <w:t>The posterior mean and GP slice visualisations show smoother surfaces than in Week 10, with noticeably tighter confidence intervals around regions of previously high expected improvement. This indicates improved surrogate certainty and reduced local noise.</w:t>
      </w:r>
    </w:p>
    <w:p>
      <w:r>
        <w:t>EI distributions are more concentrated, with fewer extreme spikes. High-EI regions are spatially tighter, reflecting a natural progression from exploration toward exploitation. UCB remains broader than EI, but EI maxima now coincide with moderate rather than extreme uncertainty, signalling healthier acquisition behaviour.</w:t>
      </w:r>
    </w:p>
    <w:p>
      <w:r>
        <w:t>ARD sensitivity plots indicate that only a subset of dimensions dominate the objective, while low-sensitivity dimensions are appropriately down-weighted rather than eliminated. Candidate distribution charts confirm that geometric diversity is preserved and that trust-region sampling has not collapsed.</w:t>
      </w:r>
    </w:p>
    <w:p>
      <w:r>
        <w:t>3. Strategy Effectiveness</w:t>
        <w:br/>
        <w:t>Relative to Week 10, the Week 11 charts confirm:</w:t>
        <w:br/>
        <w:t>- Improved surrogate stability</w:t>
        <w:br/>
        <w:t>- Better-aligned acquisition behaviour</w:t>
        <w:br/>
        <w:t>- Reduced over-exploitation risk</w:t>
        <w:br/>
        <w:t>- Maintained global exploration coverage</w:t>
      </w:r>
    </w:p>
    <w:p>
      <w:r>
        <w:t>Overall, the Function 5 strategy is behaving as intended and progressing coherently toward convergence without premature collapse.</w:t>
      </w:r>
    </w:p>
    <w:p>
      <w:r>
        <w:t>4. New Query Point Assessment</w:t>
        <w:br/>
        <w:t>The new query point added in Week 11 returned an observed value of:</w:t>
        <w:br/>
        <w:t>Y = 2590.793827932034</w:t>
      </w:r>
    </w:p>
    <w:p>
      <w:r>
        <w:t>This point lies in a high-EI but not extreme-UCB region, indicating a stabilisation-oriented selection rather than aggressive exploration. It reinforces local curvature estimates and reduces uncertainty where the surrogate already indicates promise. Compared to Week 10’s learning-focused points, this Week 11 query primarily serves confirmation and consolidation.</w:t>
      </w:r>
    </w:p>
    <w:p>
      <w:r>
        <w:t>5. Comparison with Week 10</w:t>
        <w:br/>
        <w:t>Week 10 highlighted the need to observe whether the hybrid acquisition geometry would stabilise before tightening exploration parameters. Week 11 confirms this stabilisation: uncertainty has reduced, EI has localised, and surrogate confidence has improved, validating the prior week’s strategic direction.</w:t>
      </w:r>
    </w:p>
    <w:p>
      <w:r>
        <w:t>6. Conclusions and Recommendations</w:t>
        <w:br/>
        <w:t>Function 5’s optimisation strategy remains effective and robust. It is recommended to:</w:t>
        <w:br/>
        <w:t>- Continue with the current configuration</w:t>
        <w:br/>
        <w:t>- Allow at least one further consolidation query if the budget permits</w:t>
        <w:br/>
        <w:t>- Defer tightening of trust radius or acquisition parameters until further confirmation is obtained</w:t>
      </w:r>
    </w:p>
    <w:p>
      <w:r>
        <w:t>Week 11 demonstrates a healthy transition from exploration to exploitation, aligned with best-practice Bayesian optimisation behaviour.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