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Function_6_Week_11_Analysis</w:t>
      </w:r>
    </w:p>
    <w:p>
      <w:pPr>
        <w:pStyle w:val="Heading2"/>
      </w:pPr>
      <w:r>
        <w:t>Overview of Function 6 Objectives and Role</w:t>
      </w:r>
    </w:p>
    <w:p>
      <w:pPr>
        <w:spacing w:after="240"/>
      </w:pPr>
      <w:r>
        <w:t>Function 6 governs target-objective steering and global-survivor insurance within the optimisation workflow. Its primary role is to ensure that high-performing candidates remain represented throughout acquisition and ranking, preventing premature local convergence while maintaining alignment with the objective maximisation strategy.</w:t>
      </w:r>
    </w:p>
    <w:p>
      <w:pPr>
        <w:pStyle w:val="Heading2"/>
      </w:pPr>
      <w:r>
        <w:t>Week 11 Strategy Behaviour and Effectiveness</w:t>
      </w:r>
    </w:p>
    <w:p>
      <w:pPr>
        <w:spacing w:after="240"/>
      </w:pPr>
      <w:r>
        <w:t>In Week 11, Function 6 continues to perform effectively, with output diagnostics confirming that the minimum global-survivor rule is consistently enforced. Output charts show that at least the configured minimum number of global candidates persists through SVM gating, spatial guardrails, and EI/UCB ranking. Compared with Week 10, this mechanism exhibits improved stability, with fewer late-stage candidate losses due to geometry or gating interactions.</w:t>
      </w:r>
    </w:p>
    <w:p>
      <w:pPr>
        <w:pStyle w:val="Heading2"/>
      </w:pPr>
      <w:r>
        <w:t>Interaction with Acquisition and Trust-Region Logic</w:t>
      </w:r>
    </w:p>
    <w:p>
      <w:pPr>
        <w:spacing w:after="240"/>
      </w:pPr>
      <w:r>
        <w:t>Function 6 integrates cleanly with acquisition scoring and trust-region refinement. In Week 11 visualisations, global survivor points remain visible within EI and UCB surfaces, confirming that exploitation has not overridden exploration. Trust-region proposals cluster appropriately around high-value regions without eliminating globally distinct candidates, validating the balance between refinement and coverage highlighted in Week 10.</w:t>
      </w:r>
    </w:p>
    <w:p>
      <w:pPr>
        <w:pStyle w:val="Heading2"/>
      </w:pPr>
      <w:r>
        <w:t>Impact of the New Query on Function 6 Behaviour</w:t>
      </w:r>
    </w:p>
    <w:p>
      <w:pPr>
        <w:spacing w:after="240"/>
      </w:pPr>
      <w:r>
        <w:t>Following the addition of the new query point in Week 11, Function 6 successfully preserved global diversity while allowing high-performing local candidates to advance. Charts show no collapse toward a single basin, and global candidates continue to anchor the acquisition landscape, indicating that objective steering remains robust under incremental data growth.</w:t>
      </w:r>
    </w:p>
    <w:p>
      <w:pPr>
        <w:pStyle w:val="Heading2"/>
      </w:pPr>
      <w:r>
        <w:t>Comparison with Function_6_Week_10_Analysis</w:t>
      </w:r>
    </w:p>
    <w:p>
      <w:pPr>
        <w:spacing w:after="240"/>
      </w:pPr>
      <w:r>
        <w:t>Week 10 identified the importance of maintaining a strict minimum global-survivor threshold to avoid over-exploitation. Week 11 confirms that this recommendation remains valid: no evidence of acquisition saturation or loss of exploratory coverage is observed. In fact, the Week 11 outputs suggest marginally improved integration between global-survivor insurance and SVM-based gating.</w:t>
      </w:r>
    </w:p>
    <w:p>
      <w:pPr>
        <w:pStyle w:val="Heading2"/>
      </w:pPr>
      <w:r>
        <w:t>Overall Assessment and Recommendations</w:t>
      </w:r>
    </w:p>
    <w:p>
      <w:pPr>
        <w:spacing w:after="240"/>
      </w:pPr>
      <w:r>
        <w:t>Function 6 remains stable and effective in Week 11. Target-objective steering behaves as intended, global-survivor insurance is consistently applied, and compatibility with other optimisation functions is preserved. No configuration changes are recommended at this stage. Continued monitoring is advised as data volume increases, particularly to ensure that survivor thresholds remain appropriate under higher-dimensional or noisier regimes.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