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Function_7_Week_11_Analysis</w:t>
      </w:r>
    </w:p>
    <w:p>
      <w:r>
        <w:t>Executive Summary</w:t>
      </w:r>
    </w:p>
    <w:p>
      <w:r>
        <w:t>Function 7 in Week 11 shows a clear improvement over Week 10 in both optimisation effectiveness and surrogate confidence. Output charts indicate a stronger balance between exploration and exploitation, driven by spatial guard-rails, cleaner acquisition structure, and improved candidate geometry. The new query point delivers a materially higher observed response and aligns with high-value regions highlighted in the acquisition plots.</w:t>
      </w:r>
    </w:p>
    <w:p/>
    <w:p>
      <w:r>
        <w:t>Effectiveness of the Strategy (Week 11 Charts)</w:t>
      </w:r>
    </w:p>
    <w:p>
      <w:r>
        <w:t>The Week 11 EI contour and GP slice charts show smoother posterior structure and more concentrated acquisition maxima compared to the broadly diffusive patterns seen previously. This indicates reduced uncertainty and better localisation of promising regions. EI is no longer dominated by uncertainty-only regions, while UCB still preserves exploratory insurance.</w:t>
      </w:r>
    </w:p>
    <w:p>
      <w:r>
        <w:t>Diversity and PCA diagnostics confirm that candidate sets remain well-spread across the design space, demonstrating that spatial guard-rails are preventing collapse without sacrificing refinement. ARD-related slice behaviour suggests that a subset of dimensions now dominates performance, consistent with surrogate learning rather than random probing.</w:t>
      </w:r>
    </w:p>
    <w:p/>
    <w:p>
      <w:r>
        <w:t>Commentary on the New Query Point</w:t>
      </w:r>
    </w:p>
    <w:p>
      <w:r>
        <w:t>The selected Week 11 query point [0.187952, 0.450615, 0.725626, 0.182580, 0.366572, 0.835712] yielded an observed output of approximately 1.689, substantially higher than the Week 10 observation (~1.001). In the GP and EI slice plots, this point lies close to a posterior mean maximum and on a clear EI ridge, rather than at the edge of a high-uncertainty zone.</w:t>
      </w:r>
    </w:p>
    <w:p>
      <w:r>
        <w:t>Confidence bands around this location are narrower than those seen around the Week 10 point, indicating improved model confidence. The point is also spatially distinct from prior evaluations, confirming that spatial guard-rails are successfully enforcing geometric separation.</w:t>
      </w:r>
    </w:p>
    <w:p/>
    <w:p>
      <w:r>
        <w:t>Comparison with Week 10</w:t>
      </w:r>
    </w:p>
    <w:p>
      <w:r>
        <w:t>Week 10 operated in a more exploratory GP-only regime with limited evidence of convergence. The new point was positive but not clearly superior to the incumbent. In contrast, Week 11 shows both qualitative and quantitative progress: higher reward, more structured acquisition landscapes, and clearer indications of convergence toward a productive basin.</w:t>
      </w:r>
    </w:p>
    <w:p/>
    <w:p>
      <w:r>
        <w:t>Overall Assessment</w:t>
      </w:r>
    </w:p>
    <w:p>
      <w:r>
        <w:t>The Week 11 charts support the conclusion that Function 7 is now functioning effectively as a controlled high-dimensional optimisation strategy. Compared with Week 10, it has transitioned from cautious global exploration to informed exploitation while retaining diversity. Continued refinement around the current basin is recommended, with adaptive exploration reintroduced only if progress slows.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