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Function_8_Week_11_Analysis</w:t>
      </w:r>
    </w:p>
    <w:p>
      <w:pPr>
        <w:pStyle w:val="Heading2"/>
      </w:pPr>
      <w:r>
        <w:t>Overview of Strategy Effectiveness (Week 11)</w:t>
      </w:r>
    </w:p>
    <w:p>
      <w:pPr>
        <w:spacing w:after="240"/>
      </w:pPr>
      <w:r>
        <w:t>The Function 8 strategy continues to perform robustly, preserving the exploration–exploitation balance established in Week 10. Expected Improvement (EI) and Upper Confidence Bound (UCB) charts show structured acquisition landscapes, reduced uncertainty around sampled regions, and smoother posterior mean surfaces. Compared with Week 10, variance is reduced, EI maxima are better aligned with posterior gradients, and no premature convergence is observed.</w:t>
      </w:r>
    </w:p>
    <w:p>
      <w:pPr>
        <w:pStyle w:val="Heading2"/>
      </w:pPr>
      <w:r>
        <w:t>Dimensional Sensitivity and ARD Insights</w:t>
      </w:r>
    </w:p>
    <w:p>
      <w:pPr>
        <w:spacing w:after="240"/>
      </w:pPr>
      <w:r>
        <w:t>ARD diagnostics confirm that a limited subset of dimensions remains dominant, while low-sensitivity dimensions are effectively neutralised through median snapping. Visual diagnostics (EI pairplots and ridge scans) show stable, interpretable structures, validating the continued use of ARD-based feature screening recommended in Week 10.</w:t>
      </w:r>
    </w:p>
    <w:p>
      <w:pPr>
        <w:pStyle w:val="Heading2"/>
      </w:pPr>
      <w:r>
        <w:t>Analysis of the New Query Point</w:t>
      </w:r>
    </w:p>
    <w:p>
      <w:pPr>
        <w:spacing w:after="240"/>
      </w:pPr>
      <w:r>
        <w:t>The new query point ([0.145466, 0.106558, 0.201283, 0.125081, 0.843984, 0.364286, 0.204199, 0.075523]) with observed value ≈9.93 lies within a high-EI region, close to a local acquisition maximum but not at its boundary. UCB values indicate controlled uncertainty, and GP slice visualisations show narrower confidence intervals than comparable Week 10 points. The point preserves diversity while reinforcing high-value regions, confirming effective acquisition behaviour.</w:t>
      </w:r>
    </w:p>
    <w:p>
      <w:pPr>
        <w:pStyle w:val="Heading2"/>
      </w:pPr>
      <w:r>
        <w:t>Comparison with Function_8_Week_10_Analysis</w:t>
      </w:r>
    </w:p>
    <w:p>
      <w:pPr>
        <w:spacing w:after="240"/>
      </w:pPr>
      <w:r>
        <w:t>Week 10 recommendations—maintaining ARD screening, preserving a global exploration floor, and avoiding over-tight trust regions—remain validated in Week 11. Global candidates persist in acquisition plots, trust-region refinement avoids local clustering, and surrogate confidence improves without sacrificing coverage.</w:t>
      </w:r>
    </w:p>
    <w:p>
      <w:pPr>
        <w:pStyle w:val="Heading2"/>
      </w:pPr>
      <w:r>
        <w:t>Overall Assessment</w:t>
      </w:r>
    </w:p>
    <w:p>
      <w:pPr>
        <w:spacing w:after="240"/>
      </w:pPr>
      <w:r>
        <w:t>The Function 8 strategy in Week 11 is stable and effective. Acquisition functions are well-behaved, surrogate certainty is increasing, and the new query point aligns with both EI and posterior structure. No corrective strategy changes are required; continued monitoring for surface flattening and ARD drift is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