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8E1A" w14:textId="77777777" w:rsidR="00411661" w:rsidRDefault="00000000">
      <w:pPr>
        <w:pStyle w:val="Title"/>
      </w:pPr>
      <w:r>
        <w:t>Function_1_Week_3_Analysis</w:t>
      </w:r>
    </w:p>
    <w:p w14:paraId="6BE77726" w14:textId="77777777" w:rsidR="00411661" w:rsidRDefault="00000000">
      <w:pPr>
        <w:pStyle w:val="Heading1"/>
      </w:pPr>
      <w:r>
        <w:t>Executive Summary</w:t>
      </w:r>
    </w:p>
    <w:p w14:paraId="29D2E8D0" w14:textId="77777777" w:rsidR="00411661" w:rsidRDefault="00000000">
      <w:r>
        <w:t>Week 3 applies the hybrid Gaussian Process (GP)–based Bayesian optimisation strategy to Function 1. Compared with Week 2, the surrogate model now uses twelve observations and proposes a new query in the region x₁≈0.40, x₂≈0.13. This choice is driven primarily by Expected Improvement (EI) and Upper Confidence Bound (UCB) scores that peak away from previously sampled corners, indicating both residual uncertainty and potential uplift.</w:t>
      </w:r>
    </w:p>
    <w:p w14:paraId="1B3A3EB8" w14:textId="77777777" w:rsidR="00411661" w:rsidRDefault="00000000">
      <w:pPr>
        <w:pStyle w:val="Heading1"/>
      </w:pPr>
      <w:r>
        <w:t>Data &amp; Context</w:t>
      </w:r>
    </w:p>
    <w:p w14:paraId="2484D371" w14:textId="77777777" w:rsidR="00411661" w:rsidRDefault="00000000">
      <w:r>
        <w:rPr>
          <w:b/>
        </w:rPr>
        <w:t xml:space="preserve">Observed data points: </w:t>
      </w:r>
      <w:r>
        <w:t>12 (after adding the Week 3 sample).</w:t>
      </w:r>
      <w:r>
        <w:br/>
      </w:r>
      <w:r>
        <w:rPr>
          <w:b/>
        </w:rPr>
        <w:t xml:space="preserve">Current best observed output (Y): </w:t>
      </w:r>
      <w:r>
        <w:t>0.000000 at index 2.</w:t>
      </w:r>
      <w:r>
        <w:br/>
      </w:r>
      <w:r>
        <w:rPr>
          <w:b/>
        </w:rPr>
        <w:t xml:space="preserve">Input at current best (X_best): </w:t>
      </w:r>
      <w:r>
        <w:t>[0.731024, 0.733].</w:t>
      </w:r>
      <w:r>
        <w:br/>
      </w:r>
      <w:r>
        <w:rPr>
          <w:b/>
        </w:rPr>
        <w:t xml:space="preserve">Previous week’s query (for exploration): </w:t>
      </w:r>
      <w:r>
        <w:t>[0.000845, 0.982625].</w:t>
      </w:r>
    </w:p>
    <w:p w14:paraId="16B04B2E" w14:textId="77777777" w:rsidR="00411661" w:rsidRDefault="00000000">
      <w:pPr>
        <w:pStyle w:val="Heading1"/>
      </w:pPr>
      <w:r>
        <w:t>What the Week 3 Charts Show</w:t>
      </w:r>
    </w:p>
    <w:p w14:paraId="0440CEE0" w14:textId="77777777" w:rsidR="00411661" w:rsidRDefault="00000000">
      <w:pPr>
        <w:pStyle w:val="ListBullet"/>
      </w:pPr>
      <w:r>
        <w:t>1D GP slice plots for x₁ and x₂ display broad 95% confidence intervals (reflecting high residual uncertainty) and overlay EI/UCB curves.</w:t>
      </w:r>
    </w:p>
    <w:p w14:paraId="454D0C77" w14:textId="77777777" w:rsidR="00411661" w:rsidRDefault="00000000">
      <w:pPr>
        <w:pStyle w:val="ListBullet"/>
      </w:pPr>
      <w:r>
        <w:t>The 2D slice (GP mean and EI contour) highlights a local EI maximum in the band x₁≈0.35–0.40 and x₂≈0.10–0.13 (star marker).</w:t>
      </w:r>
    </w:p>
    <w:p w14:paraId="37E407B3" w14:textId="77777777" w:rsidR="00411661" w:rsidRDefault="00000000">
      <w:pPr>
        <w:pStyle w:val="ListBullet"/>
      </w:pPr>
      <w:r>
        <w:t>The workflow reports the current best Y=0.000000 at X_best≈[0.731024, 0.733], yet EI prioritises alternate regions due to uncertainty and limited evidence of non‑zero readings near the incumbent best.</w:t>
      </w:r>
    </w:p>
    <w:p w14:paraId="42082908" w14:textId="77777777" w:rsidR="00411661" w:rsidRDefault="00000000">
      <w:pPr>
        <w:pStyle w:val="Heading1"/>
      </w:pPr>
      <w:r>
        <w:t>Effectiveness of the Strategy</w:t>
      </w:r>
    </w:p>
    <w:p w14:paraId="4E1AEAED" w14:textId="77777777" w:rsidR="00411661" w:rsidRDefault="00000000">
      <w:r>
        <w:t>The hybrid strategy is behaving as intended. In Week 2, EI was near-zero across most of the domain due to extremely small best‑observed values and a nearly flat posterior. After incorporating Week 3’s additional point, the model’s acquisition surfaces are more structured. EI and UCB now identify a compact, under‑sampled region with both uncertainty and modest mean lift. This balances exploration (coverage of a new area) with pragmatic exploitation of an emerging signal.</w:t>
      </w:r>
    </w:p>
    <w:p w14:paraId="79B369D3" w14:textId="77777777" w:rsidR="00411661" w:rsidRDefault="00000000">
      <w:pPr>
        <w:pStyle w:val="Heading1"/>
      </w:pPr>
      <w:r>
        <w:t>New Query Point</w:t>
      </w:r>
    </w:p>
    <w:p w14:paraId="72EFBAC9" w14:textId="77777777" w:rsidR="00411661" w:rsidRDefault="00000000">
      <w:r>
        <w:rPr>
          <w:b/>
        </w:rPr>
        <w:t xml:space="preserve">Portal-ready candidate (top-1 by EI): </w:t>
      </w:r>
      <w:r>
        <w:t>0.397715-0.130715.</w:t>
      </w:r>
      <w:r>
        <w:br/>
      </w:r>
      <w:r>
        <w:rPr>
          <w:b/>
        </w:rPr>
        <w:t xml:space="preserve">Alternate candidate surfaced earlier in the notebook: </w:t>
      </w:r>
      <w:r>
        <w:t>0.378235-0.117664.</w:t>
      </w:r>
      <w:r>
        <w:br/>
      </w:r>
      <w:r>
        <w:rPr>
          <w:b/>
        </w:rPr>
        <w:t xml:space="preserve">Rationale: </w:t>
      </w:r>
      <w:r>
        <w:t xml:space="preserve">Both candidates sit within the same EI hotspot identified on the 2D slice, delivering high information gain if the function exhibits sparse, localised non‑zero pockets. </w:t>
      </w:r>
      <w:r>
        <w:lastRenderedPageBreak/>
        <w:t>Sampling here diversifies coverage relative to the Week 2 corner query and the incumbent best near (0.73, 0.73).</w:t>
      </w:r>
    </w:p>
    <w:p w14:paraId="71DDAA07" w14:textId="77777777" w:rsidR="00411661" w:rsidRDefault="00000000">
      <w:pPr>
        <w:pStyle w:val="Heading1"/>
      </w:pPr>
      <w:r>
        <w:t>Risks &amp; Mitigations</w:t>
      </w:r>
    </w:p>
    <w:p w14:paraId="5FD0B5DE" w14:textId="77777777" w:rsidR="00411661" w:rsidRDefault="00000000">
      <w:pPr>
        <w:pStyle w:val="ListBullet"/>
      </w:pPr>
      <w:r>
        <w:t>If the new point returns another zero, posterior mean may remain flat and EI could again be driven mostly by uncertainty.</w:t>
      </w:r>
    </w:p>
    <w:p w14:paraId="64DDF211" w14:textId="77777777" w:rsidR="00411661" w:rsidRDefault="00000000">
      <w:pPr>
        <w:pStyle w:val="ListBullet"/>
      </w:pPr>
      <w:r>
        <w:t>Over‑reliance on a Gaussian likelihood can be sub‑optimal for near‑binary/near‑zero outcomes; consider transformations or alternative likelihoods in future experiments.</w:t>
      </w:r>
    </w:p>
    <w:p w14:paraId="319C7003" w14:textId="77777777" w:rsidR="00411661" w:rsidRDefault="00000000">
      <w:pPr>
        <w:pStyle w:val="ListBullet"/>
      </w:pPr>
      <w:r>
        <w:t>Local trust‑region search around X_best could still be valuable if sporadic non‑zero readings exist nearby; maintain a contingency plan to pivot back if evidence emerges.</w:t>
      </w:r>
    </w:p>
    <w:p w14:paraId="5981E3E7" w14:textId="77777777" w:rsidR="00411661" w:rsidRDefault="00000000">
      <w:pPr>
        <w:pStyle w:val="Heading1"/>
      </w:pPr>
      <w:r>
        <w:t>Next Steps</w:t>
      </w:r>
    </w:p>
    <w:p w14:paraId="6710F353" w14:textId="77777777" w:rsidR="00411661" w:rsidRDefault="00000000">
      <w:pPr>
        <w:pStyle w:val="ListNumber"/>
      </w:pPr>
      <w:r>
        <w:t>Execute the portal-ready query 0.397715-0.130715 and update the dataset.</w:t>
      </w:r>
    </w:p>
    <w:p w14:paraId="1053B243" w14:textId="77777777" w:rsidR="00411661" w:rsidRDefault="00000000">
      <w:pPr>
        <w:pStyle w:val="ListNumber"/>
      </w:pPr>
      <w:r>
        <w:t>On receipt of the outcome, re-fit the GP and replot EI/UCB slices; compare EI mass in the (0.35–0.40, 0.10–0.13) band versus alternatives.</w:t>
      </w:r>
    </w:p>
    <w:p w14:paraId="75EA7886" w14:textId="77777777" w:rsidR="00411661" w:rsidRDefault="00000000">
      <w:pPr>
        <w:pStyle w:val="ListNumber"/>
      </w:pPr>
      <w:r>
        <w:t>If still zero, increase UCB kappa modestly to widen exploration and test a second band (e.g., x₂ in 0.20–0.35) in the following round.</w:t>
      </w:r>
    </w:p>
    <w:p w14:paraId="3F1E91C2" w14:textId="77777777" w:rsidR="00411661" w:rsidRDefault="00000000">
      <w:pPr>
        <w:pStyle w:val="ListNumber"/>
      </w:pPr>
      <w:r>
        <w:t>If any non‑zero is observed, tighten a trust region around it (±0.03) and schedule 1–2 exploitation‑biased rounds to localise the source.</w:t>
      </w:r>
    </w:p>
    <w:sectPr w:rsidR="004116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328936">
    <w:abstractNumId w:val="8"/>
  </w:num>
  <w:num w:numId="2" w16cid:durableId="601496904">
    <w:abstractNumId w:val="6"/>
  </w:num>
  <w:num w:numId="3" w16cid:durableId="299921216">
    <w:abstractNumId w:val="5"/>
  </w:num>
  <w:num w:numId="4" w16cid:durableId="971595989">
    <w:abstractNumId w:val="4"/>
  </w:num>
  <w:num w:numId="5" w16cid:durableId="1253272817">
    <w:abstractNumId w:val="7"/>
  </w:num>
  <w:num w:numId="6" w16cid:durableId="39474586">
    <w:abstractNumId w:val="3"/>
  </w:num>
  <w:num w:numId="7" w16cid:durableId="1923830630">
    <w:abstractNumId w:val="2"/>
  </w:num>
  <w:num w:numId="8" w16cid:durableId="138038848">
    <w:abstractNumId w:val="1"/>
  </w:num>
  <w:num w:numId="9" w16cid:durableId="175061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EBC"/>
    <w:rsid w:val="0029639D"/>
    <w:rsid w:val="0029707B"/>
    <w:rsid w:val="00326F90"/>
    <w:rsid w:val="00411661"/>
    <w:rsid w:val="005E5A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A25D5"/>
  <w14:defaultImageDpi w14:val="300"/>
  <w15:docId w15:val="{A3E4C139-F428-4F54-8415-FA135BAD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2712</Characters>
  <Application>Microsoft Office Word</Application>
  <DocSecurity>0</DocSecurity>
  <Lines>47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Antonius Meliat</cp:lastModifiedBy>
  <cp:revision>2</cp:revision>
  <dcterms:created xsi:type="dcterms:W3CDTF">2025-12-19T12:54:00Z</dcterms:created>
  <dcterms:modified xsi:type="dcterms:W3CDTF">2025-12-19T12:54:00Z</dcterms:modified>
  <cp:category/>
</cp:coreProperties>
</file>