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AFC67" w14:textId="77777777" w:rsidR="000D6171" w:rsidRDefault="00000000">
      <w:pPr>
        <w:pStyle w:val="Title"/>
      </w:pPr>
      <w:r>
        <w:t>Function_2_Week_3_Analysis</w:t>
      </w:r>
    </w:p>
    <w:p w14:paraId="1061CA9F" w14:textId="77777777" w:rsidR="000D6171" w:rsidRDefault="00000000">
      <w:pPr>
        <w:pStyle w:val="Heading1"/>
      </w:pPr>
      <w:r>
        <w:t>Executive Summary</w:t>
      </w:r>
    </w:p>
    <w:p w14:paraId="12A6E904" w14:textId="77777777" w:rsidR="000D6171" w:rsidRDefault="00000000">
      <w:r>
        <w:t>Week 3 applies the hybrid Gaussian Process (GP)–based Bayesian optimisation strategy to Function 2. Compared with Week 2, the surrogate model now uses twelve observations and exhibits a structured posterior, with EI hotspots concentrated around x₁≈0.69–0.70 and low x₂ (≈0.05–0.13). The portal-ready suggestion is 0.696647-0.127504, consistent with the acquisition peak, while an earlier candidate 0.695796-0.073018 lies in the same basin.</w:t>
      </w:r>
    </w:p>
    <w:p w14:paraId="2845FB39" w14:textId="77777777" w:rsidR="000D6171" w:rsidRDefault="00000000">
      <w:pPr>
        <w:pStyle w:val="Heading1"/>
      </w:pPr>
      <w:r>
        <w:t>Data &amp; Context</w:t>
      </w:r>
    </w:p>
    <w:p w14:paraId="1FC37919" w14:textId="77777777" w:rsidR="000D6171" w:rsidRDefault="00000000">
      <w:r>
        <w:rPr>
          <w:b/>
        </w:rPr>
        <w:t xml:space="preserve">Observed data points: </w:t>
      </w:r>
      <w:r>
        <w:t>12 (after adding the Week 3 sample).</w:t>
      </w:r>
      <w:r>
        <w:br/>
      </w:r>
      <w:r>
        <w:rPr>
          <w:b/>
        </w:rPr>
        <w:t xml:space="preserve">Current best observed output (Y): </w:t>
      </w:r>
      <w:r>
        <w:t>0.611205 at index 9.</w:t>
      </w:r>
      <w:r>
        <w:br/>
      </w:r>
      <w:r>
        <w:rPr>
          <w:b/>
        </w:rPr>
        <w:t xml:space="preserve">Input at current best (X_best): </w:t>
      </w:r>
      <w:r>
        <w:t>[0.702637, 0.926564].</w:t>
      </w:r>
      <w:r>
        <w:br/>
      </w:r>
      <w:r>
        <w:rPr>
          <w:b/>
        </w:rPr>
        <w:t xml:space="preserve">Week 3 new observation appended: </w:t>
      </w:r>
      <w:r>
        <w:t>[0.994010, 0.180431] with Y = -0.015296.</w:t>
      </w:r>
      <w:r>
        <w:br/>
      </w:r>
    </w:p>
    <w:p w14:paraId="2909812F" w14:textId="77777777" w:rsidR="000D6171" w:rsidRDefault="00000000">
      <w:pPr>
        <w:pStyle w:val="Heading1"/>
      </w:pPr>
      <w:r>
        <w:t>What the Week 3 Charts Show</w:t>
      </w:r>
    </w:p>
    <w:p w14:paraId="6CADBE64" w14:textId="77777777" w:rsidR="000D6171" w:rsidRDefault="00000000">
      <w:pPr>
        <w:pStyle w:val="ListBullet"/>
      </w:pPr>
      <w:r>
        <w:t>1D GP slice plots with 95% confidence intervals show learning concentrated around x₁≈0.7; uncertainty reduces near observed points and remains higher at low x₂.</w:t>
      </w:r>
    </w:p>
    <w:p w14:paraId="606DE5C2" w14:textId="77777777" w:rsidR="000D6171" w:rsidRDefault="00000000">
      <w:pPr>
        <w:pStyle w:val="ListBullet"/>
      </w:pPr>
      <w:r>
        <w:t>2D GP mean and EI contour identify a compact acquisition hotspot around x₁≈0.69–0.70 and x₂≈0.05–0.13, aligning with the printed candidate list.</w:t>
      </w:r>
    </w:p>
    <w:p w14:paraId="73141ED0" w14:textId="77777777" w:rsidR="000D6171" w:rsidRDefault="00000000">
      <w:pPr>
        <w:pStyle w:val="ListBullet"/>
      </w:pPr>
      <w:r>
        <w:t>The workflow’s log reports the current best Y=0.611205 @ X_best≈[0.702637, 0.926564], yet EI favours a different band (lower x₂), balancing exploitation of promising mean with exploration of uncertainty.</w:t>
      </w:r>
    </w:p>
    <w:p w14:paraId="65EEFB82" w14:textId="77777777" w:rsidR="000D6171" w:rsidRDefault="00000000">
      <w:pPr>
        <w:pStyle w:val="Heading1"/>
      </w:pPr>
      <w:r>
        <w:t>Effectiveness of the Strategy</w:t>
      </w:r>
    </w:p>
    <w:p w14:paraId="1C33A470" w14:textId="77777777" w:rsidR="000D6171" w:rsidRDefault="00000000">
      <w:r>
        <w:t>Compared to Week 2, the hybrid strategy shows clear progress. The GP posterior for Function 2 is more structured than Function 1, and EI now concentrates on a small basin near x₁≈0.7 with low x₂, rather than diffusing across the grid. The inclusion of the Week 3 point at (0.994, 0.180) delivered information about the high‑x₁ edge but did not improve Y, helping the model redirect focus toward the mid‑x₁, low‑x₂ basin with stronger EI.</w:t>
      </w:r>
    </w:p>
    <w:p w14:paraId="043819FC" w14:textId="77777777" w:rsidR="000D6171" w:rsidRDefault="00000000">
      <w:pPr>
        <w:pStyle w:val="Heading1"/>
      </w:pPr>
      <w:r>
        <w:t>New Query Point</w:t>
      </w:r>
    </w:p>
    <w:p w14:paraId="77497BFC" w14:textId="77777777" w:rsidR="000D6171" w:rsidRDefault="00000000">
      <w:r>
        <w:rPr>
          <w:b/>
        </w:rPr>
        <w:t xml:space="preserve">Portal-ready candidate (top-1 by EI): </w:t>
      </w:r>
      <w:r>
        <w:t>0.696647-0.127504.</w:t>
      </w:r>
      <w:r>
        <w:br/>
      </w:r>
      <w:r>
        <w:rPr>
          <w:b/>
        </w:rPr>
        <w:t xml:space="preserve">Earlier numeric/printed candidate: </w:t>
      </w:r>
      <w:r>
        <w:t>0.695796-0.073018.</w:t>
      </w:r>
      <w:r>
        <w:br/>
      </w:r>
      <w:r>
        <w:rPr>
          <w:b/>
        </w:rPr>
        <w:t xml:space="preserve">Rationale: </w:t>
      </w:r>
      <w:r>
        <w:t xml:space="preserve">Both candidates lie inside the same EI hotspot. The lower x₂ options diversify </w:t>
      </w:r>
      <w:r>
        <w:lastRenderedPageBreak/>
        <w:t>away from the incumbent best at x₂≈0.93, while preserving proximity to x₁≈0.7 where the model suggests higher mean performance.</w:t>
      </w:r>
    </w:p>
    <w:p w14:paraId="59266F87" w14:textId="77777777" w:rsidR="000D6171" w:rsidRDefault="00000000">
      <w:pPr>
        <w:pStyle w:val="Heading1"/>
      </w:pPr>
      <w:r>
        <w:t>Insights from Previous Week</w:t>
      </w:r>
    </w:p>
    <w:p w14:paraId="329166FC" w14:textId="77777777" w:rsidR="000D6171" w:rsidRDefault="00000000">
      <w:r>
        <w:t>Last week’s commentary noted that EI and UCB jointly guided selection, with EI favouring regions above the best observed output (≈0.081 at that time) and UCB steering into higher‑uncertainty areas. This week’s structured EI hotspot and the shift away from the high‑x₂ incumbent are consistent with that guidance: we now exploit the promising x₁ band while exploring lower x₂ values to seek a higher peak.</w:t>
      </w:r>
    </w:p>
    <w:p w14:paraId="0F289C54" w14:textId="77777777" w:rsidR="000D6171" w:rsidRDefault="00000000">
      <w:pPr>
        <w:pStyle w:val="Heading1"/>
      </w:pPr>
      <w:r>
        <w:t>Risks &amp; Mitigations</w:t>
      </w:r>
    </w:p>
    <w:p w14:paraId="240200A2" w14:textId="77777777" w:rsidR="000D6171" w:rsidRDefault="00000000">
      <w:pPr>
        <w:pStyle w:val="ListBullet"/>
      </w:pPr>
      <w:r>
        <w:t>If the selected point yields a lower score, EI may need re‑tuning (e.g., adjusting ξ or UCB κ) to re‑balance exploration and exploitation.</w:t>
      </w:r>
    </w:p>
    <w:p w14:paraId="7BDF1094" w14:textId="77777777" w:rsidR="000D6171" w:rsidRDefault="00000000">
      <w:pPr>
        <w:pStyle w:val="ListBullet"/>
      </w:pPr>
      <w:r>
        <w:t>There is a possibility of local optima around x₁≈0.7; maintain a small trust‑region around any improving point but keep one global probe per round to avoid premature convergence.</w:t>
      </w:r>
    </w:p>
    <w:p w14:paraId="378BF3C7" w14:textId="77777777" w:rsidR="000D6171" w:rsidRDefault="00000000">
      <w:pPr>
        <w:pStyle w:val="ListBullet"/>
      </w:pPr>
      <w:r>
        <w:t>Noise sensitivity: ensure standardisation of Y remains appropriate; consider checking residuals for heteroscedastic patterns.</w:t>
      </w:r>
    </w:p>
    <w:p w14:paraId="0F13F66F" w14:textId="77777777" w:rsidR="000D6171" w:rsidRDefault="00000000">
      <w:pPr>
        <w:pStyle w:val="Heading1"/>
      </w:pPr>
      <w:r>
        <w:t>Next Steps</w:t>
      </w:r>
    </w:p>
    <w:p w14:paraId="0BE1AB56" w14:textId="77777777" w:rsidR="000D6171" w:rsidRDefault="00000000">
      <w:pPr>
        <w:pStyle w:val="ListNumber"/>
      </w:pPr>
      <w:r>
        <w:t>Submit the portal-ready query 0.696647-0.127504 and update the dataset.</w:t>
      </w:r>
    </w:p>
    <w:p w14:paraId="6B76BFC2" w14:textId="77777777" w:rsidR="000D6171" w:rsidRDefault="00000000">
      <w:pPr>
        <w:pStyle w:val="ListNumber"/>
      </w:pPr>
      <w:r>
        <w:t>Re‑fit the GP on receipt of the new outcome and replot EI/UCB; compare EI mass near (0.69–0.70, 0.05–0.13) versus alternatives.</w:t>
      </w:r>
    </w:p>
    <w:p w14:paraId="45A75430" w14:textId="77777777" w:rsidR="000D6171" w:rsidRDefault="00000000">
      <w:pPr>
        <w:pStyle w:val="ListNumber"/>
      </w:pPr>
      <w:r>
        <w:t>If improvement is observed, lock a ±0.03 trust‑region around the best and schedule one exploitation‑biased round; otherwise, widen UCB κ and add one candidate near x₂≈0.20–0.30 to test a second strip.</w:t>
      </w:r>
    </w:p>
    <w:sectPr w:rsidR="000D61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9603147">
    <w:abstractNumId w:val="8"/>
  </w:num>
  <w:num w:numId="2" w16cid:durableId="247733817">
    <w:abstractNumId w:val="6"/>
  </w:num>
  <w:num w:numId="3" w16cid:durableId="20710595">
    <w:abstractNumId w:val="5"/>
  </w:num>
  <w:num w:numId="4" w16cid:durableId="373508945">
    <w:abstractNumId w:val="4"/>
  </w:num>
  <w:num w:numId="5" w16cid:durableId="998315150">
    <w:abstractNumId w:val="7"/>
  </w:num>
  <w:num w:numId="6" w16cid:durableId="836766853">
    <w:abstractNumId w:val="3"/>
  </w:num>
  <w:num w:numId="7" w16cid:durableId="1536888749">
    <w:abstractNumId w:val="2"/>
  </w:num>
  <w:num w:numId="8" w16cid:durableId="1488982451">
    <w:abstractNumId w:val="1"/>
  </w:num>
  <w:num w:numId="9" w16cid:durableId="1848128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6171"/>
    <w:rsid w:val="0015074B"/>
    <w:rsid w:val="0029639D"/>
    <w:rsid w:val="00323CFD"/>
    <w:rsid w:val="00326F90"/>
    <w:rsid w:val="00A9695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4C55D0"/>
  <w14:defaultImageDpi w14:val="300"/>
  <w15:docId w15:val="{0C05382B-F932-4D88-B005-7D0CDF45D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507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Antonius Meliat</cp:lastModifiedBy>
  <cp:revision>2</cp:revision>
  <dcterms:created xsi:type="dcterms:W3CDTF">2025-12-19T12:58:00Z</dcterms:created>
  <dcterms:modified xsi:type="dcterms:W3CDTF">2025-12-19T12:58:00Z</dcterms:modified>
  <cp:category/>
</cp:coreProperties>
</file>