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A848" w14:textId="77777777" w:rsidR="00BD694A" w:rsidRDefault="00000000">
      <w:pPr>
        <w:pStyle w:val="Title"/>
      </w:pPr>
      <w:r>
        <w:t>Function_3_Week_3_Analysis_updated</w:t>
      </w:r>
    </w:p>
    <w:p w14:paraId="2194A601" w14:textId="77777777" w:rsidR="00BD694A" w:rsidRDefault="00000000">
      <w:pPr>
        <w:pStyle w:val="Heading1"/>
      </w:pPr>
      <w:r>
        <w:t>Executive Summary</w:t>
      </w:r>
    </w:p>
    <w:p w14:paraId="5EB131A7" w14:textId="77777777" w:rsidR="00BD694A" w:rsidRDefault="00000000">
      <w:r>
        <w:t xml:space="preserve">Week 3 applies the hybrid Gaussian Process (GP)–based Bayesian optimisation strategy to Function 3. After appending the Week‑3 observation at high x₁ and x₂ but very low x₃ (which did not improve Y), the GP’s acquisition surfaces (EI/UCB) now concentrate on a narrow ridge at high x₁ and x₂ with a **moderate x₃ ≈ 0.39–0.40**. The portal‑ready suggestion **0.914181‑0.920879‑0.398579** is consistent with this EI hotspot and represents a balanced, information‑rich move. </w:t>
      </w:r>
    </w:p>
    <w:p w14:paraId="4ECAC3D6" w14:textId="77777777" w:rsidR="00BD694A" w:rsidRDefault="00000000">
      <w:pPr>
        <w:pStyle w:val="Heading1"/>
      </w:pPr>
      <w:r>
        <w:t>Data &amp; Context</w:t>
      </w:r>
    </w:p>
    <w:p w14:paraId="53C7BF5C" w14:textId="77777777" w:rsidR="00BD694A" w:rsidRDefault="00000000">
      <w:r>
        <w:rPr>
          <w:b/>
        </w:rPr>
        <w:t xml:space="preserve">Observed data points: </w:t>
      </w:r>
      <w:r>
        <w:t>17 (after adding the Week 3 sample).</w:t>
      </w:r>
      <w:r>
        <w:br/>
      </w:r>
      <w:r>
        <w:rPr>
          <w:b/>
        </w:rPr>
        <w:t xml:space="preserve">Current best observed output (Y): </w:t>
      </w:r>
      <w:r>
        <w:t>-0.034835 at index 3.</w:t>
      </w:r>
      <w:r>
        <w:br/>
      </w:r>
      <w:r>
        <w:rPr>
          <w:b/>
        </w:rPr>
        <w:t xml:space="preserve">Input at current best (X_best): </w:t>
      </w:r>
      <w:r>
        <w:t>[0.492581, 0.611593, 0.340176].</w:t>
      </w:r>
      <w:r>
        <w:br/>
      </w:r>
      <w:r>
        <w:rPr>
          <w:b/>
        </w:rPr>
        <w:t xml:space="preserve">Week 3 new observation appended: </w:t>
      </w:r>
      <w:r>
        <w:t>[0.948660, 0.998064, 0.027521] with Y = -0.096801.</w:t>
      </w:r>
      <w:r>
        <w:br/>
      </w:r>
      <w:r>
        <w:rPr>
          <w:i/>
        </w:rPr>
        <w:t>Sources: function 3 wk3_updated notebook logs.</w:t>
      </w:r>
    </w:p>
    <w:p w14:paraId="3105055D" w14:textId="77777777" w:rsidR="00BD694A" w:rsidRDefault="00000000">
      <w:pPr>
        <w:pStyle w:val="Heading1"/>
      </w:pPr>
      <w:r>
        <w:t>What the Week 3 Charts Show</w:t>
      </w:r>
    </w:p>
    <w:p w14:paraId="28AB8B91" w14:textId="77777777" w:rsidR="00BD694A" w:rsidRDefault="00000000">
      <w:pPr>
        <w:pStyle w:val="ListBullet"/>
      </w:pPr>
      <w:r>
        <w:t>1D GP slice plots with 95% confidence intervals show learning progression across all three dimensions; uncertainty has reduced near previously sampled regions but remains elevated in under‑sampled corners.</w:t>
      </w:r>
    </w:p>
    <w:p w14:paraId="5815F7CA" w14:textId="77777777" w:rsidR="00BD694A" w:rsidRDefault="00000000">
      <w:pPr>
        <w:pStyle w:val="ListBullet"/>
      </w:pPr>
      <w:r>
        <w:t>The 2D GP mean and EI contour depict a compact **EI hotspot** at **x₁ ≈ 0.85–0.95**, **x₂ ≈ 0.90–0.96**, with **x₃ ≈ 0.38–0.40** preferred over the very low x₃ tried this week.</w:t>
      </w:r>
    </w:p>
    <w:p w14:paraId="5DCFF079" w14:textId="77777777" w:rsidR="00BD694A" w:rsidRDefault="00000000">
      <w:pPr>
        <w:pStyle w:val="ListBullet"/>
      </w:pPr>
      <w:r>
        <w:t>Earlier the notebook printed a numeric candidate **0.737957‑0.969252‑0.401701** (same basin), and the final portal list converged on **0.914181‑0.920879‑0.398579** as top‑1 by EI.</w:t>
      </w:r>
    </w:p>
    <w:p w14:paraId="0D4947F9" w14:textId="77777777" w:rsidR="00BD694A" w:rsidRDefault="00000000">
      <w:pPr>
        <w:pStyle w:val="Heading1"/>
      </w:pPr>
      <w:r>
        <w:t>Effectiveness of the Strategy</w:t>
      </w:r>
    </w:p>
    <w:p w14:paraId="4F5AD227" w14:textId="77777777" w:rsidR="00BD694A" w:rsidRDefault="00000000">
      <w:r>
        <w:t>The strategy is behaving as intended in 3D. Last week’s exploration at the upper edges (high x₁ and x₂, very low x₃) yielded a poorer score (Y more negative), and the model has **adapted** by shifting mass toward **moderate x₃** while retaining high x₁/x₂—evidence that EI/UCB are jointly narrowing on a plausible ridge. This balances exploration of an under‑sampled band with soft exploitation of an emerging signal.</w:t>
      </w:r>
    </w:p>
    <w:p w14:paraId="6A3D12EF" w14:textId="77777777" w:rsidR="00BD694A" w:rsidRDefault="00000000">
      <w:pPr>
        <w:pStyle w:val="Heading1"/>
      </w:pPr>
      <w:r>
        <w:lastRenderedPageBreak/>
        <w:t>New Query Point</w:t>
      </w:r>
    </w:p>
    <w:p w14:paraId="440C42D3" w14:textId="77777777" w:rsidR="00BD694A" w:rsidRDefault="00000000">
      <w:r>
        <w:rPr>
          <w:b/>
        </w:rPr>
        <w:t xml:space="preserve">Portal-ready candidate (top-1 by EI): </w:t>
      </w:r>
      <w:r>
        <w:t>0.914181-0.920879-0.398579.</w:t>
      </w:r>
      <w:r>
        <w:br/>
      </w:r>
      <w:r>
        <w:rPr>
          <w:b/>
        </w:rPr>
        <w:t xml:space="preserve">Earlier numeric/printed candidate: </w:t>
      </w:r>
      <w:r>
        <w:t>0.737957-0.969252-0.401701.</w:t>
      </w:r>
      <w:r>
        <w:br/>
      </w:r>
      <w:r>
        <w:rPr>
          <w:b/>
        </w:rPr>
        <w:t xml:space="preserve">Rationale: </w:t>
      </w:r>
      <w:r>
        <w:t>Both lie on the same EI ridge (high x₁, high x₂, **x₃≈0.40**). Compared with the Week‑3 trial at x₃≈0.03, these points test a **more promising x₃ slice** while maintaining proximity to regions with higher posterior mean.</w:t>
      </w:r>
    </w:p>
    <w:p w14:paraId="256C76FD" w14:textId="77777777" w:rsidR="00BD694A" w:rsidRDefault="00000000">
      <w:pPr>
        <w:pStyle w:val="Heading1"/>
      </w:pPr>
      <w:r>
        <w:t>Insights from Previous Week</w:t>
      </w:r>
    </w:p>
    <w:p w14:paraId="4D1D95AF" w14:textId="77777777" w:rsidR="00BD694A" w:rsidRDefault="00000000">
      <w:r>
        <w:t>Prior commentary highlighted the need to combine EI (potential improvement) with UCB (uncertainty) and to probe far from the initial cluster. That guidance led to the Week‑3 edge probe **[0.9487, 0.9981, 0.0275]**, which, despite a negative outcome, supplied information that **redirected** the model toward the x₃≈0.40 ridge.</w:t>
      </w:r>
    </w:p>
    <w:p w14:paraId="0304493F" w14:textId="77777777" w:rsidR="00BD694A" w:rsidRDefault="00000000">
      <w:pPr>
        <w:pStyle w:val="Heading1"/>
      </w:pPr>
      <w:r>
        <w:t>Risks &amp; Mitigations</w:t>
      </w:r>
    </w:p>
    <w:p w14:paraId="567AB43A" w14:textId="77777777" w:rsidR="00BD694A" w:rsidRDefault="00000000">
      <w:pPr>
        <w:pStyle w:val="ListBullet"/>
      </w:pPr>
      <w:r>
        <w:t>If the new point again yields a strongly negative value, EI may become dominated by uncertainty; consider increasing UCB κ marginally or raising EI’s ξ to sustain broader exploration.</w:t>
      </w:r>
    </w:p>
    <w:p w14:paraId="3C60F3B5" w14:textId="77777777" w:rsidR="00BD694A" w:rsidRDefault="00000000">
      <w:pPr>
        <w:pStyle w:val="ListBullet"/>
      </w:pPr>
      <w:r>
        <w:t>Given outputs are predominantly negative (side‑effect framing), consider verifying the target transform and Y standardisation; non‑Gaussian noise or skew may suggest a light transform or robust GP settings.</w:t>
      </w:r>
    </w:p>
    <w:p w14:paraId="6E72410A" w14:textId="77777777" w:rsidR="00BD694A" w:rsidRDefault="00000000">
      <w:pPr>
        <w:pStyle w:val="ListBullet"/>
      </w:pPr>
      <w:r>
        <w:t>Local optima: if any improvement appears near x₃≈0.40, activate a ±0.03 trust‑region around the best point for 1–2 rounds to localise.</w:t>
      </w:r>
    </w:p>
    <w:p w14:paraId="3036181E" w14:textId="77777777" w:rsidR="00BD694A" w:rsidRDefault="00000000">
      <w:pPr>
        <w:pStyle w:val="Heading1"/>
      </w:pPr>
      <w:r>
        <w:t>Next Steps</w:t>
      </w:r>
    </w:p>
    <w:p w14:paraId="2647F790" w14:textId="77777777" w:rsidR="00BD694A" w:rsidRDefault="00000000">
      <w:pPr>
        <w:pStyle w:val="ListNumber"/>
      </w:pPr>
      <w:r>
        <w:t>Submit the portal-ready query 0.914181-0.920879-0.398579 and update the dataset.</w:t>
      </w:r>
    </w:p>
    <w:p w14:paraId="31F11FC9" w14:textId="77777777" w:rsidR="00BD694A" w:rsidRDefault="00000000">
      <w:pPr>
        <w:pStyle w:val="ListNumber"/>
      </w:pPr>
      <w:r>
        <w:t>On result arrival, re‑fit the GP and replot EI/UCB; check whether EI mass remains on the high‑x₁/high‑x₂ ridge at x₃≈0.38–0.42.</w:t>
      </w:r>
    </w:p>
    <w:p w14:paraId="0A5D3F02" w14:textId="77777777" w:rsidR="00BD694A" w:rsidRDefault="00000000">
      <w:pPr>
        <w:pStyle w:val="ListNumber"/>
      </w:pPr>
      <w:r>
        <w:t>If improvement is observed (Y less negative / more positive), schedule an exploitation‑biased round with a ±0.03 trust‑region around the new best.</w:t>
      </w:r>
    </w:p>
    <w:p w14:paraId="3646F32A" w14:textId="77777777" w:rsidR="00BD694A" w:rsidRDefault="00000000">
      <w:pPr>
        <w:pStyle w:val="ListNumber"/>
      </w:pPr>
      <w:r>
        <w:t>If no improvement, widen exploration by increasing UCB κ slightly and add a contrasting probe with **lower x₂** or **mid x₁** to test for a second mode.</w:t>
      </w:r>
    </w:p>
    <w:sectPr w:rsidR="00BD69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77055">
    <w:abstractNumId w:val="8"/>
  </w:num>
  <w:num w:numId="2" w16cid:durableId="680815521">
    <w:abstractNumId w:val="6"/>
  </w:num>
  <w:num w:numId="3" w16cid:durableId="1908566661">
    <w:abstractNumId w:val="5"/>
  </w:num>
  <w:num w:numId="4" w16cid:durableId="1357464639">
    <w:abstractNumId w:val="4"/>
  </w:num>
  <w:num w:numId="5" w16cid:durableId="917710596">
    <w:abstractNumId w:val="7"/>
  </w:num>
  <w:num w:numId="6" w16cid:durableId="151409696">
    <w:abstractNumId w:val="3"/>
  </w:num>
  <w:num w:numId="7" w16cid:durableId="984434465">
    <w:abstractNumId w:val="2"/>
  </w:num>
  <w:num w:numId="8" w16cid:durableId="888494194">
    <w:abstractNumId w:val="1"/>
  </w:num>
  <w:num w:numId="9" w16cid:durableId="192506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2902"/>
    <w:rsid w:val="00BD694A"/>
    <w:rsid w:val="00CB0664"/>
    <w:rsid w:val="00E038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F0E9BF"/>
  <w14:defaultImageDpi w14:val="300"/>
  <w15:docId w15:val="{85044DC3-4B21-45A1-AF7E-AC292251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Antonius Meliat</cp:lastModifiedBy>
  <cp:revision>2</cp:revision>
  <dcterms:created xsi:type="dcterms:W3CDTF">2025-12-19T13:04:00Z</dcterms:created>
  <dcterms:modified xsi:type="dcterms:W3CDTF">2025-12-19T13:04:00Z</dcterms:modified>
  <cp:category/>
</cp:coreProperties>
</file>