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763A" w14:textId="77777777" w:rsidR="00456D81" w:rsidRDefault="00000000">
      <w:pPr>
        <w:pStyle w:val="Title"/>
      </w:pPr>
      <w:r>
        <w:t>Function_4_Week_3_Analysis_updated</w:t>
      </w:r>
    </w:p>
    <w:p w14:paraId="4CA65B1F" w14:textId="77777777" w:rsidR="00456D81" w:rsidRDefault="00000000">
      <w:pPr>
        <w:pStyle w:val="Heading1"/>
      </w:pPr>
      <w:r>
        <w:t>Executive Summary</w:t>
      </w:r>
    </w:p>
    <w:p w14:paraId="25029C1D" w14:textId="77777777" w:rsidR="00456D81" w:rsidRDefault="00000000">
      <w:r>
        <w:t>Week 3 applies the hybrid Gaussian Process (GP)–based Bayesian optimisation strategy to Function 4. After appending the Week‑3 sample at mid‑range coordinates, the model identifies a **compact EI cluster** around x₁≈0.42–0.47, x₂≈0.42–0.46, x₃≈0.30–0.32 (with a secondary at ≈0.39), and x₄≈0.44–0.50. The portal‑ready suggestion **0.445416‑0.438473‑0.313825‑0.444112** sits in this basin, reflecting a controlled shift from broad exploration to local exploitation with uncertainty awareness.</w:t>
      </w:r>
    </w:p>
    <w:p w14:paraId="702BD4EE" w14:textId="77777777" w:rsidR="00456D81" w:rsidRDefault="00000000">
      <w:pPr>
        <w:pStyle w:val="Heading1"/>
      </w:pPr>
      <w:r>
        <w:t>Data &amp; Context</w:t>
      </w:r>
    </w:p>
    <w:p w14:paraId="5C94AAD7" w14:textId="77777777" w:rsidR="00456D81" w:rsidRDefault="00000000">
      <w:r>
        <w:rPr>
          <w:b/>
        </w:rPr>
        <w:t xml:space="preserve">Observed data points: </w:t>
      </w:r>
      <w:r>
        <w:t>32 (after adding the Week 3 sample).</w:t>
      </w:r>
      <w:r>
        <w:br/>
      </w:r>
      <w:r>
        <w:rPr>
          <w:b/>
        </w:rPr>
        <w:t xml:space="preserve">Week 3 new observation appended: </w:t>
      </w:r>
      <w:r>
        <w:t xml:space="preserve">[0.442310, 0.457596, 0.288395, 0.456504] with Y = -1.892848. </w:t>
      </w:r>
      <w:r>
        <w:br/>
      </w:r>
      <w:r>
        <w:rPr>
          <w:b/>
        </w:rPr>
        <w:t xml:space="preserve">Current best observed output (Y): </w:t>
      </w:r>
      <w:r>
        <w:t xml:space="preserve">-1.892848 at index 31. </w:t>
      </w:r>
      <w:r>
        <w:br/>
      </w:r>
      <w:r>
        <w:rPr>
          <w:b/>
        </w:rPr>
        <w:t xml:space="preserve">Input at current best (X_best): </w:t>
      </w:r>
      <w:r>
        <w:t>[0.442310, 0.457596, 0.288395, 0.456504].</w:t>
      </w:r>
      <w:r>
        <w:br/>
      </w:r>
      <w:r>
        <w:rPr>
          <w:i/>
        </w:rPr>
        <w:t>Source: function 4 wk3_updated notebook logs.</w:t>
      </w:r>
    </w:p>
    <w:p w14:paraId="4E6AE806" w14:textId="77777777" w:rsidR="00456D81" w:rsidRDefault="00000000">
      <w:pPr>
        <w:pStyle w:val="Heading1"/>
      </w:pPr>
      <w:r>
        <w:t>What the Week 3 Charts Show</w:t>
      </w:r>
    </w:p>
    <w:p w14:paraId="765419EC" w14:textId="77777777" w:rsidR="00456D81" w:rsidRDefault="00000000">
      <w:pPr>
        <w:pStyle w:val="ListBullet"/>
      </w:pPr>
      <w:r>
        <w:t>1D GP slice plots (with 95% confidence intervals) indicate reduced uncertainty near the mid‑range region introduced this week; uncertainty remains higher farther away.</w:t>
      </w:r>
    </w:p>
    <w:p w14:paraId="13737A95" w14:textId="77777777" w:rsidR="00456D81" w:rsidRDefault="00000000">
      <w:pPr>
        <w:pStyle w:val="ListBullet"/>
      </w:pPr>
      <w:r>
        <w:t>2D GP mean/EI contour views cluster the EI mass around x₁≈0.42–0.47 and x₂≈0.42–0.46 with x₃ around 0.30–0.32 (and a nearby option near 0.39) and x₄≈0.44–0.50, consistent with the ranked candidate list.</w:t>
      </w:r>
    </w:p>
    <w:p w14:paraId="503265BE" w14:textId="77777777" w:rsidR="00456D81" w:rsidRDefault="00000000">
      <w:pPr>
        <w:pStyle w:val="ListBullet"/>
      </w:pPr>
      <w:r>
        <w:t>Earlier, the workflow produced a broad candidate **0.362087‑0.359236‑0.416510‑0.390364**; after a full pass the **top‑5 EI proposals** refined to a tight neighbourhood, with the portal suggestion centred near the new incumbent best.</w:t>
      </w:r>
    </w:p>
    <w:p w14:paraId="38760C08" w14:textId="77777777" w:rsidR="00456D81" w:rsidRDefault="00000000">
      <w:pPr>
        <w:pStyle w:val="Heading1"/>
      </w:pPr>
      <w:r>
        <w:t>Effectiveness of the Strategy</w:t>
      </w:r>
    </w:p>
    <w:p w14:paraId="23B858DD" w14:textId="77777777" w:rsidR="00456D81" w:rsidRDefault="00000000">
      <w:r>
        <w:t>The hybrid GP + EI/UCB approach is proving effective in 4D. The Week‑3 point simultaneously **improved the incumbent** (now the best Y) and supplied local curvature information that concentrated EI around a small basin. The ranked proposals are **coherent perturbations** around the Week‑3 point, signalling an appropriate pivot toward exploitation while retaining uncertainty‑aware diversity.</w:t>
      </w:r>
    </w:p>
    <w:p w14:paraId="7235D479" w14:textId="77777777" w:rsidR="00456D81" w:rsidRDefault="00000000">
      <w:pPr>
        <w:pStyle w:val="Heading1"/>
      </w:pPr>
      <w:r>
        <w:lastRenderedPageBreak/>
        <w:t>New Query Point</w:t>
      </w:r>
    </w:p>
    <w:p w14:paraId="16251D05" w14:textId="77777777" w:rsidR="00456D81" w:rsidRDefault="00000000">
      <w:r>
        <w:rPr>
          <w:b/>
        </w:rPr>
        <w:t xml:space="preserve">Portal-ready candidate (top-1 by EI): </w:t>
      </w:r>
      <w:r>
        <w:t>0.445416-0.438473-0.313825-0.444112.</w:t>
      </w:r>
      <w:r>
        <w:br/>
      </w:r>
      <w:r>
        <w:rPr>
          <w:b/>
        </w:rPr>
        <w:t xml:space="preserve">Earlier numeric/printed candidate: </w:t>
      </w:r>
      <w:r>
        <w:t>0.362087-0.359236-0.416510-0.390364.</w:t>
      </w:r>
      <w:r>
        <w:br/>
      </w:r>
      <w:r>
        <w:rPr>
          <w:b/>
        </w:rPr>
        <w:t xml:space="preserve">Rationale: </w:t>
      </w:r>
      <w:r>
        <w:t>Both options fall within the broader mid‑range basin; the portal suggestion is a **trust‑region refinement** around the current best, while the earlier candidate explored a nearby slice with slightly higher x₃ uncertainty. Selecting the portal suggestion should provide the best Expected Improvement given the present surrogate.</w:t>
      </w:r>
    </w:p>
    <w:p w14:paraId="28D7146C" w14:textId="77777777" w:rsidR="00456D81" w:rsidRDefault="00000000">
      <w:pPr>
        <w:pStyle w:val="Heading1"/>
      </w:pPr>
      <w:r>
        <w:t>Insights from Previous Week</w:t>
      </w:r>
    </w:p>
    <w:p w14:paraId="5E373146" w14:textId="77777777" w:rsidR="00456D81" w:rsidRDefault="00000000">
      <w:r>
        <w:t>Last week’s commentary anticipated that a mid‑range probe could reduce global uncertainty and uncover structure in Function 4. The actual Week‑3 point **[0.4423, 0.4576, 0.2884, 0.4565]** did exactly that—establishing a stronger incumbent and guiding the EI hotspot to a tight neighbourhood for follow‑up.</w:t>
      </w:r>
    </w:p>
    <w:p w14:paraId="066A338F" w14:textId="77777777" w:rsidR="00456D81" w:rsidRDefault="00000000">
      <w:pPr>
        <w:pStyle w:val="Heading1"/>
      </w:pPr>
      <w:r>
        <w:t>Risks &amp; Mitigations</w:t>
      </w:r>
    </w:p>
    <w:p w14:paraId="3348A25B" w14:textId="77777777" w:rsidR="00456D81" w:rsidRDefault="00000000">
      <w:pPr>
        <w:pStyle w:val="ListBullet"/>
      </w:pPr>
      <w:r>
        <w:t>If subsequent samples around this neighbourhood do not improve Y, the GP may over‑commit locally; keep one candidate per round with larger step sizes (increase UCB κ) to preserve global coverage.</w:t>
      </w:r>
    </w:p>
    <w:p w14:paraId="048959C0" w14:textId="77777777" w:rsidR="00456D81" w:rsidRDefault="00000000">
      <w:pPr>
        <w:pStyle w:val="ListBullet"/>
      </w:pPr>
      <w:r>
        <w:t>Because Function 4 can contain multiple local optima, watch for EI clustering only along x₃≈0.30–0.32; if that happens, add a counterfactual probe with x₃≈0.38–0.42 while keeping x₁/x₂/x₄ near the current basin.</w:t>
      </w:r>
    </w:p>
    <w:p w14:paraId="2444C250" w14:textId="77777777" w:rsidR="00456D81" w:rsidRDefault="00000000">
      <w:pPr>
        <w:pStyle w:val="ListBullet"/>
      </w:pPr>
      <w:r>
        <w:t>Validate Y standardisation and noise settings to avoid artificial smoothness/roughness that could mislead EI ranking.</w:t>
      </w:r>
    </w:p>
    <w:p w14:paraId="7CDF4D4D" w14:textId="77777777" w:rsidR="00456D81" w:rsidRDefault="00000000">
      <w:pPr>
        <w:pStyle w:val="Heading1"/>
      </w:pPr>
      <w:r>
        <w:t>Next Steps</w:t>
      </w:r>
    </w:p>
    <w:p w14:paraId="1DA585CD" w14:textId="77777777" w:rsidR="00456D81" w:rsidRDefault="00000000">
      <w:pPr>
        <w:pStyle w:val="ListNumber"/>
      </w:pPr>
      <w:r>
        <w:t>Submit the portal-ready query 0.445416-0.438473-0.313825-0.444112 and update the dataset.</w:t>
      </w:r>
    </w:p>
    <w:p w14:paraId="720AC2A4" w14:textId="77777777" w:rsidR="00456D81" w:rsidRDefault="00000000">
      <w:pPr>
        <w:pStyle w:val="ListNumber"/>
      </w:pPr>
      <w:r>
        <w:t>On receipt of the result, re‑fit the GP and re‑plot EI/UCB; verify whether EI mass remains concentrated in the same mid‑range basin.</w:t>
      </w:r>
    </w:p>
    <w:p w14:paraId="21D9FE1F" w14:textId="77777777" w:rsidR="00456D81" w:rsidRDefault="00000000">
      <w:pPr>
        <w:pStyle w:val="ListNumber"/>
      </w:pPr>
      <w:r>
        <w:t>If improvement is observed, run 1–2 exploitation‑biased rounds with a ±0.03 trust‑region centred on the new best; otherwise, widen exploration by modestly increasing UCB κ and test an x₃≈0.38–0.42 slice.</w:t>
      </w:r>
    </w:p>
    <w:sectPr w:rsidR="00456D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155230">
    <w:abstractNumId w:val="8"/>
  </w:num>
  <w:num w:numId="2" w16cid:durableId="495146330">
    <w:abstractNumId w:val="6"/>
  </w:num>
  <w:num w:numId="3" w16cid:durableId="1010718868">
    <w:abstractNumId w:val="5"/>
  </w:num>
  <w:num w:numId="4" w16cid:durableId="2030644168">
    <w:abstractNumId w:val="4"/>
  </w:num>
  <w:num w:numId="5" w16cid:durableId="1918636454">
    <w:abstractNumId w:val="7"/>
  </w:num>
  <w:num w:numId="6" w16cid:durableId="1238320168">
    <w:abstractNumId w:val="3"/>
  </w:num>
  <w:num w:numId="7" w16cid:durableId="723329111">
    <w:abstractNumId w:val="2"/>
  </w:num>
  <w:num w:numId="8" w16cid:durableId="201332149">
    <w:abstractNumId w:val="1"/>
  </w:num>
  <w:num w:numId="9" w16cid:durableId="54571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34F"/>
    <w:rsid w:val="0029639D"/>
    <w:rsid w:val="00326F90"/>
    <w:rsid w:val="00456D81"/>
    <w:rsid w:val="00AA1D8D"/>
    <w:rsid w:val="00B47730"/>
    <w:rsid w:val="00BC29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DD343"/>
  <w14:defaultImageDpi w14:val="300"/>
  <w15:docId w15:val="{85044DC3-4B21-45A1-AF7E-AC292251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3205</Characters>
  <Application>Microsoft Office Word</Application>
  <DocSecurity>0</DocSecurity>
  <Lines>59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Meliat</cp:lastModifiedBy>
  <cp:revision>2</cp:revision>
  <dcterms:created xsi:type="dcterms:W3CDTF">2025-12-19T13:09:00Z</dcterms:created>
  <dcterms:modified xsi:type="dcterms:W3CDTF">2025-12-19T13:09:00Z</dcterms:modified>
  <cp:category/>
</cp:coreProperties>
</file>