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0CD75" w14:textId="77777777" w:rsidR="004C0916" w:rsidRDefault="00000000">
      <w:pPr>
        <w:pStyle w:val="Title"/>
      </w:pPr>
      <w:r>
        <w:t>Function_7_Week_3_Analysis_updated</w:t>
      </w:r>
    </w:p>
    <w:p w14:paraId="51C6C803" w14:textId="77777777" w:rsidR="004C0916" w:rsidRDefault="00000000">
      <w:pPr>
        <w:pStyle w:val="Heading1"/>
      </w:pPr>
      <w:r>
        <w:t>Executive Summary</w:t>
      </w:r>
    </w:p>
    <w:p w14:paraId="51F3F202" w14:textId="77777777" w:rsidR="004C0916" w:rsidRDefault="00000000">
      <w:r>
        <w:t>Week 3 applies the hybrid Gaussian Process (GP)–based Bayesian optimisation strategy to Function 7 (6D). After appending the new observation, the GP posterior shows clearer structure, and EI hotspots concentrate along a ridge with high x₆ and mid–high x₃, while x₁, x₂, x₄, x₅ remain in low–mid bands. The portal‑ready suggestion 0.050799‑0.219675‑0.658786‑0.283849‑0.429209‑0.860711 reflects an information‑rich probe on this ridge.</w:t>
      </w:r>
    </w:p>
    <w:p w14:paraId="1698052E" w14:textId="77777777" w:rsidR="004C0916" w:rsidRDefault="00000000">
      <w:pPr>
        <w:pStyle w:val="Heading1"/>
      </w:pPr>
      <w:r>
        <w:t>Data &amp; Context</w:t>
      </w:r>
    </w:p>
    <w:p w14:paraId="610B7001" w14:textId="77777777" w:rsidR="004C0916" w:rsidRDefault="00000000">
      <w:r>
        <w:t>Observed data points after Week 3 append: 32 (X: (32,6), Y: (32,)).</w:t>
      </w:r>
    </w:p>
    <w:p w14:paraId="0ED4BC58" w14:textId="77777777" w:rsidR="004C0916" w:rsidRDefault="00000000">
      <w:r>
        <w:t>Week‑3 new observation appended: [0.028395, 0.132829, 0.443077, 0.340963, 0.462184, 0.869064] with Y = 1.410573.</w:t>
      </w:r>
    </w:p>
    <w:p w14:paraId="124A379D" w14:textId="77777777" w:rsidR="004C0916" w:rsidRDefault="00000000">
      <w:r>
        <w:t>Current best observed output (Y): 1.410573 at index 31; X_best = [0.028395, 0.132829, 0.443077, 0.340963, 0.462184, 0.869064].</w:t>
      </w:r>
    </w:p>
    <w:p w14:paraId="44444BFD" w14:textId="77777777" w:rsidR="004C0916" w:rsidRDefault="00000000">
      <w:pPr>
        <w:pStyle w:val="Heading1"/>
      </w:pPr>
      <w:r>
        <w:t>What the Week 3 Charts Show</w:t>
      </w:r>
    </w:p>
    <w:p w14:paraId="0B240D78" w14:textId="77777777" w:rsidR="004C0916" w:rsidRDefault="00000000">
      <w:pPr>
        <w:pStyle w:val="ListBullet"/>
      </w:pPr>
      <w:r>
        <w:t>1D GP slices with 95% confidence intervals indicate reduced uncertainty near the newly sampled neighbourhood; uncertainty remains elevated at extremes.</w:t>
      </w:r>
    </w:p>
    <w:p w14:paraId="01255EEF" w14:textId="77777777" w:rsidR="004C0916" w:rsidRDefault="00000000">
      <w:pPr>
        <w:pStyle w:val="ListBullet"/>
      </w:pPr>
      <w:r>
        <w:t>2D EI contours highlight a compact hotspot where x₃ ≈ 0.41–0.66, x₆ ≈ 0.83–0.89, and the remaining dimensions sit in low–mid ranges, consistent with the ranked candidate list.</w:t>
      </w:r>
    </w:p>
    <w:p w14:paraId="11B79BFE" w14:textId="77777777" w:rsidR="004C0916" w:rsidRDefault="00000000">
      <w:pPr>
        <w:pStyle w:val="ListBullet"/>
      </w:pPr>
      <w:r>
        <w:t>The workflow printed an earlier numeric candidate 0.003379‑0.158873‑0.437697‑0.311712‑0.437097‑0.862447 in the same basin, before converging to the portal suggestion.</w:t>
      </w:r>
    </w:p>
    <w:p w14:paraId="4BE81659" w14:textId="77777777" w:rsidR="004C0916" w:rsidRDefault="00000000">
      <w:pPr>
        <w:pStyle w:val="Heading1"/>
      </w:pPr>
      <w:r>
        <w:t>Effectiveness of the Strategy</w:t>
      </w:r>
    </w:p>
    <w:p w14:paraId="21AE26B8" w14:textId="77777777" w:rsidR="004C0916" w:rsidRDefault="00000000">
      <w:r>
        <w:t>The hybrid GP + EI/UCB approach is behaving as intended in 6D. The Week‑3 append produced a stronger incumbent (positive Y), sharpening the posterior and concentrating EI around an interpretable ridge. The top‑5 proposals are coherent perturbations around that basin, demonstrating an appropriate pivot toward exploitation while retaining uncertainty‑aware diversity.</w:t>
      </w:r>
    </w:p>
    <w:p w14:paraId="31101C7D" w14:textId="77777777" w:rsidR="004C0916" w:rsidRDefault="00000000">
      <w:pPr>
        <w:pStyle w:val="Heading1"/>
      </w:pPr>
      <w:r>
        <w:lastRenderedPageBreak/>
        <w:t>New Query Point</w:t>
      </w:r>
    </w:p>
    <w:p w14:paraId="5221B15D" w14:textId="77777777" w:rsidR="004C0916" w:rsidRDefault="00000000">
      <w:r>
        <w:t>Portal‑ready candidate (top‑1 by EI): 0.050799-0.219675-0.658786-0.283849-0.429209-0.860711.</w:t>
      </w:r>
    </w:p>
    <w:p w14:paraId="719E2156" w14:textId="77777777" w:rsidR="004C0916" w:rsidRDefault="00000000">
      <w:r>
        <w:t>Earlier numeric/printed candidate: 0.003379-0.158873-0.437697-0.311712-0.437097-0.862447.</w:t>
      </w:r>
    </w:p>
    <w:p w14:paraId="5A71D74D" w14:textId="77777777" w:rsidR="004C0916" w:rsidRDefault="00000000">
      <w:r>
        <w:t>Rationale: Both points sit on the same EI ridge. The portal suggestion increases x₃ toward ~0.66 while keeping x₆ high and the others low–mid, which should maximise Expected Improvement under the current surrogate.</w:t>
      </w:r>
    </w:p>
    <w:p w14:paraId="5C5D96F0" w14:textId="77777777" w:rsidR="004C0916" w:rsidRDefault="00000000">
      <w:pPr>
        <w:pStyle w:val="Heading1"/>
      </w:pPr>
      <w:r>
        <w:t>Insights from Previous Week</w:t>
      </w:r>
    </w:p>
    <w:p w14:paraId="0D745998" w14:textId="77777777" w:rsidR="004C0916" w:rsidRDefault="00000000">
      <w:r>
        <w:t>Last week’s commentary emphasised blending EI (improvement) with UCB (uncertainty) and probing far from the initial cluster. The Week‑3 update delivered a positive outcome and reoriented the model toward a structured ridge (high x₆, mid–high x₃), consistent with that guidance.</w:t>
      </w:r>
    </w:p>
    <w:p w14:paraId="439DDEFB" w14:textId="77777777" w:rsidR="004C0916" w:rsidRDefault="00000000">
      <w:pPr>
        <w:pStyle w:val="Heading1"/>
      </w:pPr>
      <w:r>
        <w:t>Risks &amp; Mitigations</w:t>
      </w:r>
    </w:p>
    <w:p w14:paraId="1A8016F5" w14:textId="77777777" w:rsidR="004C0916" w:rsidRDefault="00000000">
      <w:pPr>
        <w:pStyle w:val="ListBullet"/>
      </w:pPr>
      <w:r>
        <w:t>Over‑commitment to a single ridge: retain one global probe per round (e.g., vary x₁/x₂ more aggressively) to hedge against missed modes.</w:t>
      </w:r>
    </w:p>
    <w:p w14:paraId="3EFD6B54" w14:textId="77777777" w:rsidR="004C0916" w:rsidRDefault="00000000">
      <w:pPr>
        <w:pStyle w:val="ListBullet"/>
      </w:pPr>
      <w:r>
        <w:t>If EI becomes dominated by uncertainty (or saturates), tune acquisition (increase UCB κ or EI ξ) to rebalance.</w:t>
      </w:r>
    </w:p>
    <w:p w14:paraId="1B0B4372" w14:textId="77777777" w:rsidR="004C0916" w:rsidRDefault="00000000">
      <w:pPr>
        <w:pStyle w:val="ListBullet"/>
      </w:pPr>
      <w:r>
        <w:t>Check Y standardisation/noise bounds to avoid artefacts that could distort EI ranking in high‑D settings.</w:t>
      </w:r>
    </w:p>
    <w:p w14:paraId="1A271C4C" w14:textId="77777777" w:rsidR="004C0916" w:rsidRDefault="00000000">
      <w:pPr>
        <w:pStyle w:val="Heading1"/>
      </w:pPr>
      <w:r>
        <w:t>Next Steps</w:t>
      </w:r>
    </w:p>
    <w:p w14:paraId="697545B5" w14:textId="77777777" w:rsidR="004C0916" w:rsidRDefault="00000000">
      <w:pPr>
        <w:pStyle w:val="ListNumber"/>
      </w:pPr>
      <w:r>
        <w:t>Submit the portal suggestion 0.050799-0.219675-0.658786-0.283849-0.429209-0.860711 and update the dataset.</w:t>
      </w:r>
    </w:p>
    <w:p w14:paraId="53001023" w14:textId="77777777" w:rsidR="004C0916" w:rsidRDefault="00000000">
      <w:pPr>
        <w:pStyle w:val="ListNumber"/>
      </w:pPr>
      <w:r>
        <w:t>Re‑fit the GP on receipt of the new outcome; verify whether EI mass remains on the same ridge or shifts.</w:t>
      </w:r>
    </w:p>
    <w:p w14:paraId="4477F152" w14:textId="77777777" w:rsidR="004C0916" w:rsidRDefault="00000000">
      <w:pPr>
        <w:pStyle w:val="ListNumber"/>
      </w:pPr>
      <w:r>
        <w:t>If improvement is observed, schedule 1–2 exploitation‑biased rounds with a ±0.03 trust‑region around the new best; otherwise, widen exploration (increase UCB κ modestly) and test a contrasting slice (e.g., lower x₆).</w:t>
      </w:r>
    </w:p>
    <w:sectPr w:rsidR="004C09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132522">
    <w:abstractNumId w:val="8"/>
  </w:num>
  <w:num w:numId="2" w16cid:durableId="41103674">
    <w:abstractNumId w:val="6"/>
  </w:num>
  <w:num w:numId="3" w16cid:durableId="171653669">
    <w:abstractNumId w:val="5"/>
  </w:num>
  <w:num w:numId="4" w16cid:durableId="109908377">
    <w:abstractNumId w:val="4"/>
  </w:num>
  <w:num w:numId="5" w16cid:durableId="517544702">
    <w:abstractNumId w:val="7"/>
  </w:num>
  <w:num w:numId="6" w16cid:durableId="53697510">
    <w:abstractNumId w:val="3"/>
  </w:num>
  <w:num w:numId="7" w16cid:durableId="1972860062">
    <w:abstractNumId w:val="2"/>
  </w:num>
  <w:num w:numId="8" w16cid:durableId="963851981">
    <w:abstractNumId w:val="1"/>
  </w:num>
  <w:num w:numId="9" w16cid:durableId="194715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0916"/>
    <w:rsid w:val="00903610"/>
    <w:rsid w:val="00AA1D8D"/>
    <w:rsid w:val="00B47730"/>
    <w:rsid w:val="00C458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CBACC"/>
  <w14:defaultImageDpi w14:val="300"/>
  <w15:docId w15:val="{59396D97-4EA4-41D1-AD33-CFD2D9A6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Antonius Meliat</cp:lastModifiedBy>
  <cp:revision>3</cp:revision>
  <dcterms:created xsi:type="dcterms:W3CDTF">2025-12-19T13:26:00Z</dcterms:created>
  <dcterms:modified xsi:type="dcterms:W3CDTF">2025-12-19T13:26:00Z</dcterms:modified>
  <cp:category/>
</cp:coreProperties>
</file>