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Function_1_Week_5_Analysis</w:t>
      </w:r>
    </w:p>
    <w:p>
      <w:r>
        <w:rPr>
          <w:b/>
          <w:sz w:val="24"/>
        </w:rPr>
        <w:t>1) Summary of Week 5 Outcomes</w:t>
      </w:r>
    </w:p>
    <w:p>
      <w:r>
        <w:t>The Week 4 top-1 query (0.766097-0.782041) was executed and returned an ~zero reading (Y≈4.23×10⁻³⁰), prompting the dynamic exploration scheduler to increase UCB κ to 2.5 and EI ξ to 0.02 for Week 5. The dataset now contains 14 points; the current best observed output remains 0.000000 at X_best≈[0.731024, 0.733]. The Week 5 proposal set shifts mass away from the incumbent pocket and concentrates on a new corridor with lower x2 and higher x1. citeturn3search2</w:t>
      </w:r>
    </w:p>
    <w:p>
      <w:r>
        <w:rPr>
          <w:b/>
          <w:sz w:val="24"/>
        </w:rPr>
        <w:t>2) Effectiveness of the Week 5 Strategy</w:t>
      </w:r>
    </w:p>
    <w:p>
      <w:pPr>
        <w:pStyle w:val="ListBullet"/>
      </w:pPr>
      <w:r>
        <w:t>Dynamic acquisition reacted correctly to no improvement: κ↑ to 2.5, ξ↑ to 0.02, increasing exploration while keeping exploitation signals. citeturn3search2</w:t>
      </w:r>
    </w:p>
    <w:p>
      <w:pPr>
        <w:pStyle w:val="ListBullet"/>
      </w:pPr>
      <w:r>
        <w:t>Global sampling intensity increased (n_global_factor=3000), ensuring broad coverage before trust-region refinement; candidate ranking used the single-pass EI/UCB path and fast Top-K selection. citeturn3search2</w:t>
      </w:r>
    </w:p>
    <w:p>
      <w:pPr>
        <w:pStyle w:val="ListBullet"/>
      </w:pPr>
      <w:r>
        <w:t>ARD sensitivities indicate Dim 1 is more influential than Dim 2 (rel=1.00 vs 0.634), supporting the move towards higher x1 values in the proposed corridor. citeturn3search2</w:t>
      </w:r>
    </w:p>
    <w:p>
      <w:pPr>
        <w:pStyle w:val="ListBullet"/>
      </w:pPr>
      <w:r>
        <w:t>SVM gate kept 40% of the candidate subset (threshold≈0.8710); diversity metrics show a tight top-k cluster (stds≈[0.006, 0.01], mean pairwise distance≈0.0171), consistent with exploitation-focused selection. citeturn3search2</w:t>
      </w:r>
    </w:p>
    <w:p>
      <w:pPr>
        <w:pStyle w:val="ListBullet"/>
      </w:pPr>
      <w:r>
        <w:t>Outcome alignment with Week 4 guidance: Week 4 recommended exploitation near the incumbent followed by exploration on failure; Week 5 implements this by shifting the search band and raising κ/ξ. citeturn3search1turn3search2</w:t>
      </w:r>
    </w:p>
    <w:p>
      <w:r>
        <w:rPr>
          <w:b/>
          <w:sz w:val="24"/>
        </w:rPr>
        <w:t>3) Chart-Driven Observations (GP/EI Slices &amp; Diagnostics)</w:t>
      </w:r>
    </w:p>
    <w:p>
      <w:pPr>
        <w:pStyle w:val="ListBullet"/>
      </w:pPr>
      <w:r>
        <w:t>Posterior mean and EI contours (2D slice) place new mass along x1≈0.79 and x2≈0.68, away from the incumbent (≈0.73, 0.73), consistent with increased exploration and ARD-driven focus. citeturn3search2</w:t>
      </w:r>
    </w:p>
    <w:p>
      <w:pPr>
        <w:pStyle w:val="ListBullet"/>
      </w:pPr>
      <w:r>
        <w:t>Top-k candidate statistics: mean (x1≈0.789, x2≈0.681) and stds (x1≈0.006, x2≈0.01) confirm a compact band of proposals—appropriate after repeated ~zero readings near the incumbent. citeturn3search2</w:t>
      </w:r>
    </w:p>
    <w:p>
      <w:pPr>
        <w:pStyle w:val="ListBullet"/>
      </w:pPr>
      <w:r>
        <w:t>SVM gating summary (kept=2/5, 40%) suggests filtering is active; given sparse non-zero pockets, ensure at least one global candidate survives gating and final ranking (as per Week 5 guarantees). citeturn3search2</w:t>
      </w:r>
    </w:p>
    <w:p>
      <w:r>
        <w:rPr>
          <w:b/>
          <w:sz w:val="24"/>
        </w:rPr>
        <w:t>4) Assessment of the New Query Point</w:t>
      </w:r>
    </w:p>
    <w:p>
      <w:r>
        <w:t>Top-1 proposed query for Week 5: 0.786213-0.685383. citeturn3search2 Rationale: (a) moves along the more sensitive dimension (x1) while lowering x2 to probe a new corridor; (b) aligns with EI maxima observed in the Week 5 slices; (c) respects trust-region constraints after stepping away from the incumbent pocket. citeturn3search2 Risk: The function’s near-binary/near-zero regime can yield repeated zeros; however, this candidate offers a materially different neighbourhood compared with Week 4’s 0.766097-0.782041 which returned ~zero. citeturn3search1turn3search2</w:t>
      </w:r>
    </w:p>
    <w:p>
      <w:r>
        <w:rPr>
          <w:b/>
          <w:sz w:val="24"/>
        </w:rPr>
        <w:t>5) Integration with Week 4 Analysis</w:t>
      </w:r>
    </w:p>
    <w:p>
      <w:pPr>
        <w:pStyle w:val="ListBullet"/>
      </w:pPr>
      <w:r>
        <w:t>Week 4 recommended exploiting near (0.76–0.79, 0.76–0.79) and, if zero, raising κ/ξ and adding global probes. Week 5 adheres to this contingency by shifting the band and scheduling exploration. citeturn3search1turn3search2</w:t>
      </w:r>
    </w:p>
    <w:p>
      <w:pPr>
        <w:pStyle w:val="ListBullet"/>
      </w:pPr>
      <w:r>
        <w:t>The executed Week 4 query (0.766097-0.782041) produced ~0, collapsing EI locally and justifying reallocation of acquisition mass to the new corridor. citeturn3search1turn3search2</w:t>
      </w:r>
    </w:p>
    <w:p>
      <w:r>
        <w:rPr>
          <w:b/>
          <w:sz w:val="24"/>
        </w:rPr>
        <w:t>6) Recommendations for Week 6</w:t>
      </w:r>
    </w:p>
    <w:p>
      <w:pPr>
        <w:pStyle w:val="ListBullet"/>
      </w:pPr>
      <w:r>
        <w:t>Submit the Week 5 top-1 (0.786213-0.685383) and retain ≥1 global Sobol/LHS probe to hedge against local trapping. citeturn3search2</w:t>
      </w:r>
    </w:p>
    <w:p>
      <w:pPr>
        <w:pStyle w:val="ListBullet"/>
      </w:pPr>
      <w:r>
        <w:t>If the new observation is non-zero: tighten a trust region (±0.02–0.03) and sample 2–3 neighbours for localisation. citeturn3search2</w:t>
      </w:r>
    </w:p>
    <w:p>
      <w:pPr>
        <w:pStyle w:val="ListBullet"/>
      </w:pPr>
      <w:r>
        <w:t>If the new observation is zero: further raise κ (up to 3.0) and ξ (up to 0.05) and add a second global probe; consider temporarily relaxing or bypassing SVM gating until a clear non-zero pocket is found. citeturn3search2</w:t>
      </w:r>
    </w:p>
    <w:p>
      <w:pPr>
        <w:pStyle w:val="ListBullet"/>
      </w:pPr>
      <w:r>
        <w:t>Given near-zero outputs, keep Y standardisation consistent and consider alternative likelihood/transform in the surrogate if zeros persist. citeturn3search1turn3search2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