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Function_2_Week_5_Analysis</w:t>
      </w:r>
    </w:p>
    <w:p>
      <w:r>
        <w:rPr>
          <w:b/>
          <w:sz w:val="24"/>
        </w:rPr>
        <w:t>1) Summary of Week 5 Outcomes</w:t>
      </w:r>
    </w:p>
    <w:p>
      <w:r>
        <w:t>Week 5 appended the Week 4 top-1 query (0.737561-0.349005) with Y≈0.269894, expanding the dataset to 14 points. The incumbent remains Y≈0.611205 at X_best≈[0.702637, 0.926564]. After no improvement, the dynamic scheduler raised UCB κ to 2.5 and EI ξ to 0.02 for this round. citeturn4search2</w:t>
      </w:r>
    </w:p>
    <w:p>
      <w:r>
        <w:rPr>
          <w:b/>
          <w:sz w:val="24"/>
        </w:rPr>
        <w:t>2) Effectiveness of the Week 5 Strategy</w:t>
      </w:r>
    </w:p>
    <w:p>
      <w:pPr>
        <w:pStyle w:val="ListBullet"/>
      </w:pPr>
      <w:r>
        <w:t>Adaptive exploration/exploitation behaved as designed: κ↑ to 2.5, ξ↑ to 0.02 following a non-improving Week 4 outcome, while retaining trust-region refinement and global sampling (n_global_factor=3000). citeturn4search2</w:t>
      </w:r>
    </w:p>
    <w:p>
      <w:pPr>
        <w:pStyle w:val="ListBullet"/>
      </w:pPr>
      <w:r>
        <w:t>ARD sensitivities show Dim 1 dominates (rel=1.000) and Dim 2 is weak (rel≈0.021), justifying proposals that vary x1 while pinning x2 near ~0.349. citeturn4search2</w:t>
      </w:r>
    </w:p>
    <w:p>
      <w:pPr>
        <w:pStyle w:val="ListBullet"/>
      </w:pPr>
      <w:r>
        <w:t>SVM gating (keep_frac=0.40) and fast Top‑K selection produced a concentrated top‑k set; diversity metrics report per‑dim std≈[0.0, 0.0] and mean pairwise distance≈0.0003, signalling a deliberate exploitation step along the x1 line at fixed x2. citeturn4search2</w:t>
      </w:r>
    </w:p>
    <w:p>
      <w:pPr>
        <w:pStyle w:val="ListBullet"/>
      </w:pPr>
      <w:r>
        <w:t>Consistency with Week 4 plan: Week 4 targeted a moderate‑x2 corridor (~0.35) near a promising x1 band; Week 5 continues that probe with tighter focus, which is reasonable given the Week 4 non‑improving result at (0.737561, 0.349005). citeturn4search1turn4search2</w:t>
      </w:r>
    </w:p>
    <w:p>
      <w:r>
        <w:rPr>
          <w:b/>
          <w:sz w:val="24"/>
        </w:rPr>
        <w:t>3) Chart-Driven Observations (GP/EI Slices &amp; Diagnostics)</w:t>
      </w:r>
    </w:p>
    <w:p>
      <w:pPr>
        <w:pStyle w:val="ListBullet"/>
      </w:pPr>
      <w:r>
        <w:t>2D EI/mean slices and the top‑k stats place mass near x1≈0.681 at x2≈0.349. The ARD read‑out confirms x1 is the lever, with x2 contributing marginally. citeturn4search2</w:t>
      </w:r>
    </w:p>
    <w:p>
      <w:pPr>
        <w:pStyle w:val="ListBullet"/>
      </w:pPr>
      <w:r>
        <w:t>SVM gate summary shows threshold≈−0.6612 with 40% kept; this, coupled with zero std in the top‑k, indicates a highly focused candidate cluster—appropriate when the surrogate suggests a narrow ridge along x1 at fixed x2. citeturn4search2</w:t>
      </w:r>
    </w:p>
    <w:p>
      <w:r>
        <w:rPr>
          <w:b/>
          <w:sz w:val="24"/>
        </w:rPr>
        <w:t>4) Assessment of the New Query Point</w:t>
      </w:r>
    </w:p>
    <w:p>
      <w:r>
        <w:t>Top‑1 proposed for Week 5: 0.681244‑0.349005. Rationale: (a) exploits the ARD‑indicated dominant dimension by scanning x1 near ~0.681; (b) retains x2 at ~0.349 to validate the corridor identified in Weeks 3–4; (c) aligns with EI peaks seen in the Week 5 slices. If it improves beyond 0.611205, a trust‑region tightening (±0.02–0.03) with 2–3 neighbours is advised. citeturn4search1turn4search2</w:t>
      </w:r>
    </w:p>
    <w:p>
      <w:r>
        <w:rPr>
          <w:b/>
          <w:sz w:val="24"/>
        </w:rPr>
        <w:t>5) Integration with Week 4 Analysis</w:t>
      </w:r>
    </w:p>
    <w:p>
      <w:pPr>
        <w:pStyle w:val="ListBullet"/>
      </w:pPr>
      <w:r>
        <w:t>Week 4 observed a non‑trivial but sub‑incumbent outcome (Y≈0.5177) at 0.696647‑0.127504 and recommended testing a moderate x2 (~0.35) near x1≈0.73. Week 5 implements that direction and further narrows the band along x1 at x2≈0.349. citeturn4search1</w:t>
      </w:r>
    </w:p>
    <w:p>
      <w:pPr>
        <w:pStyle w:val="ListBullet"/>
      </w:pPr>
      <w:r>
        <w:t>Given the incumbent at high x2 (~0.93), the current strategy’s moderate x2 corridor serves as a diversified probe that balances exploitation of the structured mean near x1≈0.68–0.74 with exploration away from the incumbent basin. citeturn4search1</w:t>
      </w:r>
    </w:p>
    <w:p>
      <w:r>
        <w:rPr>
          <w:b/>
          <w:sz w:val="24"/>
        </w:rPr>
        <w:t>6) Recommendations for Week 6</w:t>
      </w:r>
    </w:p>
    <w:p>
      <w:pPr>
        <w:pStyle w:val="ListBullet"/>
      </w:pPr>
      <w:r>
        <w:t>Submit 0.681244‑0.349005. If improvement is observed, tighten trust‑region (±0.02–0.03) and sample 2–3 neighbours around the best. citeturn4search2</w:t>
      </w:r>
    </w:p>
    <w:p>
      <w:pPr>
        <w:pStyle w:val="ListBullet"/>
      </w:pPr>
      <w:r>
        <w:t>If no improvement, raise κ (up to 3.0) and ξ (up to 0.05) and schedule 1–2 global Sobol/LHS probes; consider scanning an adjacent corridor at x2≈0.20–0.30 as suggested earlier. citeturn4search1turn4search2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