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Function_3_Week_5_Analysis</w:t>
      </w:r>
    </w:p>
    <w:p>
      <w:r>
        <w:rPr>
          <w:b/>
          <w:sz w:val="24"/>
        </w:rPr>
        <w:t>1) Summary of Week 5 Outcomes</w:t>
      </w:r>
    </w:p>
    <w:p>
      <w:r>
        <w:t>Week 5 appended the Week 4 top-1 query (0.475014-0.627834-0.510094) with an improved outcome of Y≈-0.011190, updating the dataset to 19 points. The new incumbent is therefore -0.011190 at X_best≈[0.475014, 0.627834, 0.510094]. The acquisition scheduler for this round is set at κ=2.5 and ξ=0.02. citeturn5search2</w:t>
      </w:r>
    </w:p>
    <w:p>
      <w:r>
        <w:rPr>
          <w:b/>
          <w:sz w:val="24"/>
        </w:rPr>
        <w:t>2) Effectiveness of the Week 5 Strategy</w:t>
      </w:r>
    </w:p>
    <w:p>
      <w:pPr>
        <w:pStyle w:val="ListBullet"/>
      </w:pPr>
      <w:r>
        <w:t>The Week 4 recommendation to raise x3 from ~0.34 to ~0.51 proved effective: the executed point 0.475014-0.627834-0.510094 became the new best (Y≈-0.011190, less negative is better under the maximisation framing). citeturn5search1turn5search2</w:t>
      </w:r>
    </w:p>
    <w:p>
      <w:pPr>
        <w:pStyle w:val="ListBullet"/>
      </w:pPr>
      <w:r>
        <w:t>ARD sensitivities now show **x3** as decisively dominant (rel=1.000) with x1/x2 comparatively weak (rel≈0.027 each), justifying Week 5’s decision to keep x1/x2 fixed near the incumbent while **pushing further along x3**. citeturn5search2</w:t>
      </w:r>
    </w:p>
    <w:p>
      <w:pPr>
        <w:pStyle w:val="ListBullet"/>
      </w:pPr>
      <w:r>
        <w:t>SVM gating kept 40% of candidates (threshold≈-0.0939). Top-k diversity metrics report near-zero spread (per-dim std≈[0.0, 0.0, 0.0], mean pairwise distance≈0.0002), indicating a deliberate exploitation pass tightly focused along the x3 axis around the incumbent coordinates. citeturn5search2</w:t>
      </w:r>
    </w:p>
    <w:p>
      <w:pPr>
        <w:pStyle w:val="ListBullet"/>
      </w:pPr>
      <w:r>
        <w:t>Despite the improvement, κ and ξ were increased (κ=2.5, ξ=0.02), which modestly favours exploration; however, the actual proposals still reflect **targeted local refinement** because the EI surface concentrates along x3 at the incumbent x1/x2. citeturn5search2</w:t>
      </w:r>
    </w:p>
    <w:p>
      <w:r>
        <w:rPr>
          <w:b/>
          <w:sz w:val="24"/>
        </w:rPr>
        <w:t>3) Chart-Driven Observations (GP/EI Slices &amp; Diagnostics)</w:t>
      </w:r>
    </w:p>
    <w:p>
      <w:pPr>
        <w:pStyle w:val="ListBullet"/>
      </w:pPr>
      <w:r>
        <w:t>2D slices and diagnostics place the Week 5 EI mass at **x3≈0.658** with x1≈0.475 and x2≈0.628, i.e., extending the promising x3 corridor discovered in Week 4. citeturn5search2</w:t>
      </w:r>
    </w:p>
    <w:p>
      <w:pPr>
        <w:pStyle w:val="ListBullet"/>
      </w:pPr>
      <w:r>
        <w:t>The reported top‑k candidate means/stds and ARD read‑out reinforce that tuning x3 is the primary lever, while further movement in x1/x2 is unlikely to yield comparable gain at this stage. citeturn5search2</w:t>
      </w:r>
    </w:p>
    <w:p>
      <w:r>
        <w:rPr>
          <w:b/>
          <w:sz w:val="24"/>
        </w:rPr>
        <w:t>4) Assessment of the New Query Point</w:t>
      </w:r>
    </w:p>
    <w:p>
      <w:r>
        <w:t>Top‑1 proposed for Week 5: **0.475014-0.627834-0.657807**. Rationale: (a) fixes x1/x2 at the new incumbent levels and escalates x3 along the dimension with the highest ARD sensitivity; (b) aligns with the EI maxima observed in the Week 5 slices; (c) respects trust‑region style local refinement after a successful step. If this point further reduces the magnitude of the negative score (i.e., moves it closer to zero), follow with a tight trust‑region (±0.02–0.03) around the best and sample 2–3 neighbours. citeturn5search2</w:t>
      </w:r>
    </w:p>
    <w:p>
      <w:r>
        <w:rPr>
          <w:b/>
          <w:sz w:val="24"/>
        </w:rPr>
        <w:t>5) Integration with Week 4 Analysis</w:t>
      </w:r>
    </w:p>
    <w:p>
      <w:pPr>
        <w:pStyle w:val="ListBullet"/>
      </w:pPr>
      <w:r>
        <w:t>Week 4’s analysis highlighted that increasing x3 (from ~0.34 toward ~0.5) near the incumbent x1/x2 could yield improvement; the Week 5 outcome confirms this, establishing a new best at x3≈0.51. citeturn5search1turn5search2</w:t>
      </w:r>
    </w:p>
    <w:p>
      <w:pPr>
        <w:pStyle w:val="ListBullet"/>
      </w:pPr>
      <w:r>
        <w:t>Building on that success, Week 5 proposals sensibly **extend the x3 sweep upward (~0.658)** while holding x1/x2 steady—consistent with the EI surface and ARD sensitivity profile. citeturn5search2</w:t>
      </w:r>
    </w:p>
    <w:p>
      <w:r>
        <w:rPr>
          <w:b/>
          <w:sz w:val="24"/>
        </w:rPr>
        <w:t>6) Recommendations for Week 6</w:t>
      </w:r>
    </w:p>
    <w:p>
      <w:pPr>
        <w:pStyle w:val="ListBullet"/>
      </w:pPr>
      <w:r>
        <w:t>Submit **0.475014-0.627834-0.657807** (top‑1). If it improves upon −0.011190, tighten trust‑region (±0.02–0.03) in x3 and sample 2–3 neighbours to localise the optimum. citeturn5search2</w:t>
      </w:r>
    </w:p>
    <w:p>
      <w:pPr>
        <w:pStyle w:val="ListBullet"/>
      </w:pPr>
      <w:r>
        <w:t>If no improvement, consider resetting κ→2.0 and ξ→0.01 for a purer exploitation pass, or alternatively push κ/ξ upward with **one global Sobol/LHS probe** to check for a second basin—as flagged in earlier risk notes. citeturn5search1turn5search2</w:t>
      </w:r>
    </w:p>
    <w:p>
      <w:pPr>
        <w:pStyle w:val="ListBullet"/>
      </w:pPr>
      <w:r>
        <w:t>Maintain consistent Y standardisation and noise bounds; since outputs are negative by design, continue monitoring residuals and consider mild robustness if heteroscedasticity emerges. citeturn5search1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