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Function_4_Week_5_Analysis</w:t>
      </w:r>
    </w:p>
    <w:p>
      <w:r>
        <w:rPr>
          <w:b/>
          <w:sz w:val="24"/>
        </w:rPr>
        <w:t>1) Summary of Week 5 Outcomes</w:t>
      </w:r>
    </w:p>
    <w:p>
      <w:r>
        <w:t>Week 5 appended the Week 4 top-1 query (0.577766-0.500231-0.000306-0.008202) with an observed outcome of Y≈−16.792, increasing the dataset to 34 points. The incumbent remains a very high positive Y≈1747.711 at X_best≈[0.445848, 0.740499, 0.995147, 0.922830]. The Week 5 acquisition scheduler is set to κ=2.5 and ξ=0.02. citeturn6search2</w:t>
      </w:r>
    </w:p>
    <w:p>
      <w:r>
        <w:rPr>
          <w:b/>
          <w:sz w:val="24"/>
        </w:rPr>
        <w:t>2) Effectiveness of the Week 5 Strategy</w:t>
      </w:r>
    </w:p>
    <w:p>
      <w:pPr>
        <w:pStyle w:val="ListBullet"/>
      </w:pPr>
      <w:r>
        <w:t>Adaptive exploration/exploitation behaved as designed: after a non-improving prior round, κ and ξ increased (κ→2.5, ξ→0.02). Candidate generation preserved global coverage (n_global_factor=3000) while enabling local refinement. citeturn6search2</w:t>
      </w:r>
    </w:p>
    <w:p>
      <w:pPr>
        <w:pStyle w:val="ListBullet"/>
      </w:pPr>
      <w:r>
        <w:t>The executed Week 4 probe at very low x3/x4 returned a strongly negative value (≈−16.8), providing clear negative evidence against the near-zero x3/x4 corner. In response, Week 5 proposals keep x1/x2 fixed but raise x4 into the ~0.60–0.65 band while keeping x3 near ~0.01, i.e., a partial course-correct along the two most sensitive dimensions. citeturn6search2</w:t>
      </w:r>
    </w:p>
    <w:p>
      <w:pPr>
        <w:pStyle w:val="ListBullet"/>
      </w:pPr>
      <w:r>
        <w:t>ARD sensitivities rank x3 and x4 as dominant (rel=1.000 and 0.769), with x1/x2 relatively weak (rel≈0.121 each). This supports emphasising movement along x3/x4 and deprioritising variation in x1/x2. citeturn6search2</w:t>
      </w:r>
    </w:p>
    <w:p>
      <w:pPr>
        <w:pStyle w:val="ListBullet"/>
      </w:pPr>
      <w:r>
        <w:t>SVM gating (keep_frac=0.40; threshold≈−0.1076) and diversity metrics (per-dim std≈[0, 0, 0.002, 0.015]) show a focused top‑k cluster: x1/x2 are essentially fixed; x3 varies slightly around ~0.01; x4 sweeps ~0.61–0.65. This is coherent with a targeted validation of the x4 effect given ARD and the prior outcome. citeturn6search2</w:t>
      </w:r>
    </w:p>
    <w:p>
      <w:r>
        <w:rPr>
          <w:b/>
          <w:sz w:val="24"/>
        </w:rPr>
        <w:t>3) Chart-Driven Observations (GP/EI Slices &amp; Diagnostics)</w:t>
      </w:r>
    </w:p>
    <w:p>
      <w:pPr>
        <w:pStyle w:val="ListBullet"/>
      </w:pPr>
      <w:r>
        <w:t>Top‑k candidate statistics place the mass at x1≈0.578, x2≈0.500, x3≈0.01 and x4≈0.626, with small spreads on x3/x4—consistent with EI concentrating on a thin band that adjusts x4 upwards from the failed near‑zero regime. citeturn6search2</w:t>
      </w:r>
    </w:p>
    <w:p>
      <w:pPr>
        <w:pStyle w:val="ListBullet"/>
      </w:pPr>
      <w:r>
        <w:t>ARD read‑out indicates that further gains should primarily come from the (x3, x4) plane; given the strong incumbent at high x3/x4 and the Week 5 negative outcome at (x3≈0, x4≈0.008), the charts justify probing intermediate x4 while monitoring whether x3 must also increase. citeturn6search1turn6search2</w:t>
      </w:r>
    </w:p>
    <w:p>
      <w:r>
        <w:rPr>
          <w:b/>
          <w:sz w:val="24"/>
        </w:rPr>
        <w:t>4) Assessment of the New Query Point</w:t>
      </w:r>
    </w:p>
    <w:p>
      <w:r>
        <w:t>Top‑1 proposed for Week 5: **0.577766-0.500231-0.007817-0.629645**. Rationale: (a) holds x1/x2 steady (low ARD relevance) while (b) increasing x4 to ~0.63 and (c) keeping x3 near ~0.01 to isolate x4’s influence after the low‑x3/x4 failure. This is a reasonable step along the dominant dimensions; it directly tests whether higher x4 at near‑zero x3 yields uplift relative to −16.8. citeturn6search2</w:t>
      </w:r>
    </w:p>
    <w:p>
      <w:r>
        <w:rPr>
          <w:b/>
          <w:sz w:val="24"/>
        </w:rPr>
        <w:t>5) Integration with Week 4 Analysis</w:t>
      </w:r>
    </w:p>
    <w:p>
      <w:pPr>
        <w:pStyle w:val="ListBullet"/>
      </w:pPr>
      <w:r>
        <w:t>Week 4’s proposals pivoted from a mid‑range basin to a contrasting low‑x3/x4 slice (top‑1: 0.577766-0.500231-0.000306-0.008202). The Week 5 result at that point (Y≈−16.8) provides decisive feedback that the extreme low‑x3/x4 corner is poor, supporting the current shift toward higher x4 while reassessing x3. citeturn6search1turn6search2</w:t>
      </w:r>
    </w:p>
    <w:p>
      <w:pPr>
        <w:pStyle w:val="ListBullet"/>
      </w:pPr>
      <w:r>
        <w:t>Given the incumbent at high x3/x4 (≈[0.995, 0.923]) and strong ARD on these dims, the evidence suggests the optimum lies in a high‑x3/high‑x4 neighbourhood; thus, Week 5’s choice can be viewed as a bridge test toward that region. citeturn6search1turn6search2</w:t>
      </w:r>
    </w:p>
    <w:p>
      <w:r>
        <w:rPr>
          <w:b/>
          <w:sz w:val="24"/>
        </w:rPr>
        <w:t>6) Recommendations for Week 6</w:t>
      </w:r>
    </w:p>
    <w:p>
      <w:pPr>
        <w:pStyle w:val="ListBullet"/>
      </w:pPr>
      <w:r>
        <w:t>Submit **0.577766-0.500231-0.007817-0.629645** (top‑1). If it improves relative to −16.8, run a short local sweep by varying x4 ±0.02–0.03 at fixed x1/x2 and current x3 to map the slope. citeturn6search2</w:t>
      </w:r>
    </w:p>
    <w:p>
      <w:pPr>
        <w:pStyle w:val="ListBullet"/>
      </w:pPr>
      <w:r>
        <w:t>If no improvement is observed, escalate the adjustment along **x3** as well: test a counterfactual band with x3≈0.35–0.45 at x4≈0.60–0.65 (x1/x2 fixed), to check for an interaction that requires raising both dominant dims. citeturn6search2</w:t>
      </w:r>
    </w:p>
    <w:p>
      <w:pPr>
        <w:pStyle w:val="ListBullet"/>
      </w:pPr>
      <w:r>
        <w:t>Maintain ≥1 global Sobol/LHS probe to guard against local trapping and re‑verify Y scaling/standardisation each fit, given the contrast between the very high incumbent and recent negative outcomes. citeturn6search1turn6search2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