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Function_5_Week_5_Analysis</w:t>
      </w:r>
    </w:p>
    <w:p>
      <w:r>
        <w:rPr>
          <w:b/>
          <w:sz w:val="24"/>
        </w:rPr>
        <w:t>1) Summary of Week 5 Outcomes</w:t>
      </w:r>
    </w:p>
    <w:p>
      <w:r>
        <w:t>Week 5 appended the Week 4 top-1 query (0.463442-0.534192-0.984759-0.999999) with an observed outcome of Y≈1,784.323, updating the dataset to 24 points. The incumbent remains Y≈2,346.998 at X_best≈[0.803637, 0.385430, 0.970833, 0.993242]. The workflow for Week 5 used an NN surrogate with PCA (use_nn=True, use_pca=True) and tuned hyperparameters (layers=[192,192], lr≈1.68e-4, weight_decay≈2.98e-5). citeturn8search2turn8search1</w:t>
      </w:r>
    </w:p>
    <w:p>
      <w:r>
        <w:rPr>
          <w:b/>
          <w:sz w:val="24"/>
        </w:rPr>
        <w:t>2) Effectiveness of the Week 5 Strategy</w:t>
      </w:r>
    </w:p>
    <w:p>
      <w:pPr>
        <w:pStyle w:val="ListBullet"/>
      </w:pPr>
      <w:r>
        <w:t>Strategy coherence: proposals continue to keep x3/x4 near the upper end (≈0.96–0.99) while exploring x1/x2 along a high-yield ridge—consistent with Week 4’s successful pattern. citeturn8search2turn8search1</w:t>
      </w:r>
    </w:p>
    <w:p>
      <w:pPr>
        <w:pStyle w:val="ListBullet"/>
      </w:pPr>
      <w:r>
        <w:t>Modeling stack: NN surrogate with PCA was enabled and hyperparameter-tuned (best: [192,192], lr≈1.68e-4, wd≈2.98e-5), preserving acquisition validity via ensemble uncertainty; this is appropriate given the large output dynamic range. citeturn8search2</w:t>
      </w:r>
    </w:p>
    <w:p>
      <w:pPr>
        <w:pStyle w:val="ListBullet"/>
      </w:pPr>
      <w:r>
        <w:t>Diagnostics: SVM gating kept ~40% (threshold≈1.0559). Top‑k candidate statistics show most variation in x1/x2 (std≈0.063 and 0.099) with smaller spread in x3/x4 (std≈0.011 and 0.022), indicating deliberate exploration along x1/x2 while anchoring x3/x4 high. citeturn8search2</w:t>
      </w:r>
    </w:p>
    <w:p>
      <w:pPr>
        <w:pStyle w:val="ListBullet"/>
      </w:pPr>
      <w:r>
        <w:t>Acquisition schedule: κ and ξ remained at base (κ=2.0, ξ=0.01) in this run; given the appended point underperformed the incumbent, consider nudging κ/ξ upward next round if stagnation persists. citeturn8search2</w:t>
      </w:r>
    </w:p>
    <w:p>
      <w:r>
        <w:rPr>
          <w:b/>
          <w:sz w:val="24"/>
        </w:rPr>
        <w:t>3) Chart-Driven Observations (Surrogate/EI Slices &amp; Diagnostics)</w:t>
      </w:r>
    </w:p>
    <w:p>
      <w:pPr>
        <w:pStyle w:val="ListBullet"/>
      </w:pPr>
      <w:r>
        <w:t>Current best remains at high x3/x4 with a shift in x1/x2 relative to Week 3, while the appended Week 4 candidate (x1≈0.463, x2≈0.534) delivered a good — but sub‑incumbent — yield (≈1,784). citeturn8search1turn8search2</w:t>
      </w:r>
    </w:p>
    <w:p>
      <w:pPr>
        <w:pStyle w:val="ListBullet"/>
      </w:pPr>
      <w:r>
        <w:t>Week 5 top‑k means ~[x1≈0.435, x2≈0.849, x3≈0.969, x4≈0.958] plus non‑zero diversity (mean pairwise distance≈0.1702) suggest the ridge tilts toward higher x2 while keeping x3/x4 near 0.96–0.98. citeturn8search2</w:t>
      </w:r>
    </w:p>
    <w:p>
      <w:r>
        <w:rPr>
          <w:b/>
          <w:sz w:val="24"/>
        </w:rPr>
        <w:t>4) Assessment of the New Query Point</w:t>
      </w:r>
    </w:p>
    <w:p>
      <w:r>
        <w:t>Top‑1 proposed for Week 5: **0.456947-0.744090-0.981199-0.957066**. Rationale: (a) it advances along the x1/x2 ridge by moving to much higher x2 while keeping x1 in the mid‑0.45 band; (b) it maintains high x3/x4 (≈0.98/0.96) to exploit the learned optimum region; (c) it fits the NN+PCA EI surface, which concentrated mass around such settings. If it improves on the incumbent, run a trust‑region sweep (±0.02–0.03) over x1/x2 at fixed x3/x4 to refine the crest. citeturn8search2</w:t>
      </w:r>
    </w:p>
    <w:p>
      <w:r>
        <w:rPr>
          <w:b/>
          <w:sz w:val="24"/>
        </w:rPr>
        <w:t>5) Integration with Week 4 Analysis</w:t>
      </w:r>
    </w:p>
    <w:p>
      <w:pPr>
        <w:pStyle w:val="ListBullet"/>
      </w:pPr>
      <w:r>
        <w:t>Week 4 established the high‑yield incumbent at [0.803637, 0.385430, 0.970833, 0.993242] and proposed 0.463442-0.534192-0.984759-0.999999; Week 5 executed this and obtained ≈1,784, confirming the ridge but not surpassing the best. The current proposals sensibly continue to search the x1/x2 manifold at high x3/x4. citeturn8search1turn8search2</w:t>
      </w:r>
    </w:p>
    <w:p>
      <w:pPr>
        <w:pStyle w:val="ListBullet"/>
      </w:pPr>
      <w:r>
        <w:t>Given the very large Y values and concentration near x3/x4≈1.0, continuing NN‑based proposals with PCA is consistent with the Week 4 recommendation to carefully refine around the ridge while retaining some diversity. citeturn8search1turn8search2</w:t>
      </w:r>
    </w:p>
    <w:p>
      <w:r>
        <w:rPr>
          <w:b/>
          <w:sz w:val="24"/>
        </w:rPr>
        <w:t>6) Recommendations for Week 6</w:t>
      </w:r>
    </w:p>
    <w:p>
      <w:pPr>
        <w:pStyle w:val="ListBullet"/>
      </w:pPr>
      <w:r>
        <w:t>Submit **0.456947-0.744090-0.981199-0.957066** (top‑1). On improvement, tighten a trust region (±0.02–0.03) around the best and sample 2–3 neighbours primarily varying x1/x2. citeturn8search2</w:t>
      </w:r>
    </w:p>
    <w:p>
      <w:pPr>
        <w:pStyle w:val="ListBullet"/>
      </w:pPr>
      <w:r>
        <w:t>If no improvement, consider modestly increasing κ (e.g., to 2.5) and ξ (e.g., to 0.02) and include ≥1 global Sobol/LHS probe to hedge against a subtle second ridge; keep x3/x4 near 0.95–0.99 to respect the learned structure. citeturn8search2</w:t>
      </w:r>
    </w:p>
    <w:p>
      <w:pPr>
        <w:pStyle w:val="ListBullet"/>
      </w:pPr>
      <w:r>
        <w:t>Maintain standardisation/noise bounds and continue NN hyperparameter BO (layers≈[160–256], small lr≈1e‑4–3e‑4, mild weight decay) since HP‑BO already identified a performant setting ([192,192], lr≈1.68e‑4, wd≈3e‑5). citeturn8search2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