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Function_6_Week_5_Analysis</w:t>
      </w:r>
    </w:p>
    <w:p>
      <w:r>
        <w:rPr>
          <w:b/>
          <w:sz w:val="24"/>
        </w:rPr>
        <w:t>1) Summary of Week 5 Outcomes</w:t>
      </w:r>
    </w:p>
    <w:p>
      <w:r>
        <w:t>Week 5 appended the Week 4 top-1 query (0.415999-0.084092-0.343321-0.944039-0.017419) and observed Y≈−0.768881, increasing the dataset to 24 points. The incumbent remains Y≈−0.455185 at X_best≈[0.417496, 0.228745, 0.754587, 0.924049, 0.019315]. The workflow used an NN surrogate with PCA (use_nn=True, use_pca=True) and hyperparameters selected via HP-BO (layers=[256,256], learning_rate≈3.00e−3, weight_decay≈1.60e−6). citeturn9search2</w:t>
      </w:r>
    </w:p>
    <w:p>
      <w:r>
        <w:rPr>
          <w:b/>
          <w:sz w:val="24"/>
        </w:rPr>
        <w:t>2) Effectiveness of the Week 5 Strategy</w:t>
      </w:r>
    </w:p>
    <w:p>
      <w:pPr>
        <w:pStyle w:val="ListBullet"/>
      </w:pPr>
      <w:r>
        <w:t>The Week 4 step deliberately lowered x3 while keeping x4 high and x5 near zero; its Week 5 outcome (≈−0.769) underperformed the incumbent, providing negative evidence for the low-x3 slice. The strategy correctly pivots to broader coverage along the (x3, x4) plane using a more expressive NN surrogate. citeturn9search1turn9search2</w:t>
      </w:r>
    </w:p>
    <w:p>
      <w:pPr>
        <w:pStyle w:val="ListBullet"/>
      </w:pPr>
      <w:r>
        <w:t>Model stack &amp; settings: NN+PCA with tuned HPs ([256,256], lr≈3.0e−3, wd≈1.6e−6) is appropriate for Function 6’s 5D space and predominantly negative outputs; uncertainty is handled via the ensemble to keep EI/UCB valid. citeturn9search2</w:t>
      </w:r>
    </w:p>
    <w:p>
      <w:pPr>
        <w:pStyle w:val="ListBullet"/>
      </w:pPr>
      <w:r>
        <w:t>Candidate diagnostics: SVM gating kept 40% (threshold≈0.1597). Top‑k diversity is healthy (mean pairwise distance≈0.477) with the largest spread on x3 (std≈0.271) and x4 (std≈0.150), indicating the search is now systematically scanning the (x3, x4) surface while keeping x5 near zero (mean≈0.031, std≈0.019). citeturn9search2</w:t>
      </w:r>
    </w:p>
    <w:p>
      <w:pPr>
        <w:pStyle w:val="ListBullet"/>
      </w:pPr>
      <w:r>
        <w:t>Exploration–exploitation: κ and ξ remained at base (κ=2.0, ξ=0.01) after an ‘improved_last_round=True’ setting; given the latest appended point was worse than the incumbent, modestly increasing κ/ξ in the next cycle could be considered if progress stalls. citeturn9search2</w:t>
      </w:r>
    </w:p>
    <w:p>
      <w:r>
        <w:rPr>
          <w:b/>
          <w:sz w:val="24"/>
        </w:rPr>
        <w:t>3) Chart-Driven Observations (Surrogate/EI Slices &amp; Diagnostics)</w:t>
      </w:r>
    </w:p>
    <w:p>
      <w:pPr>
        <w:pStyle w:val="ListBullet"/>
      </w:pPr>
      <w:r>
        <w:t>Top‑k candidate statistics centre around x1≈0.052, x2≈0.067, x3≈0.549, x4≈0.779, x5≈0.031, with variability chiefly in x3/x4. This aligns with the historical signal that (x3, x4) govern most of the improvement potential, while x5 tends to remain low. citeturn9search2turn9search1</w:t>
      </w:r>
    </w:p>
    <w:p>
      <w:pPr>
        <w:pStyle w:val="ListBullet"/>
      </w:pPr>
      <w:r>
        <w:t>Compared with Week 4’s low‑x3 probe (x3≈0.343, x4≈0.944), Week 5’s EI mass now spans **higher x3** (0.55–0.95) combined with **mid‑to‑high x4** (≈0.52–0.95), a sensible redistribution given the recent negative result. citeturn9search2</w:t>
      </w:r>
    </w:p>
    <w:p>
      <w:r>
        <w:rPr>
          <w:b/>
          <w:sz w:val="24"/>
        </w:rPr>
        <w:t>4) Assessment of the New Query Point</w:t>
      </w:r>
    </w:p>
    <w:p>
      <w:r>
        <w:t>Top‑1 proposed for Week 5: **0.020702-0.040395-0.785323-0.518892-0.010711**. Rationale: (a) moves back to **high x3 (~0.79)** while (b) dropping **x4 to ~0.52** to test whether the best trade‑off occurs off the previously favoured high‑x4 band; (c) keeps **x5 near zero** and **x1/x2 very low**, reflecting their lesser influence in recent rounds. This is a well‑targeted exploitation‑plus‑variation step on the dominant (x3, x4) surface. citeturn9search2</w:t>
      </w:r>
    </w:p>
    <w:p>
      <w:r>
        <w:rPr>
          <w:b/>
          <w:sz w:val="24"/>
        </w:rPr>
        <w:t>5) Integration with Week 4 Analysis</w:t>
      </w:r>
    </w:p>
    <w:p>
      <w:pPr>
        <w:pStyle w:val="ListBullet"/>
      </w:pPr>
      <w:r>
        <w:t>Week 4 identified a ridge at **high x3/x4** with low x5 and suggested testing a **lower x3** slice (top‑1: 0.415999-0.084092-0.343321-0.944039-0.017419). Week 5’s outcome at that point (≈−0.769) indicates that pushing x3 too low is detrimental, reinforcing the ridge narrative. citeturn9search1turn9search2</w:t>
      </w:r>
    </w:p>
    <w:p>
      <w:pPr>
        <w:pStyle w:val="ListBullet"/>
      </w:pPr>
      <w:r>
        <w:t>Building on that evidence, Week 5 proposals diversify across **x3∈[~0.29, ~0.95]** and **x4∈[~0.52, ~0.95]** while holding x5 low. This is consistent with Week 4’s guidance to balance exploration around the ridge with selective contrasts. citeturn9search2</w:t>
      </w:r>
    </w:p>
    <w:p>
      <w:r>
        <w:rPr>
          <w:b/>
          <w:sz w:val="24"/>
        </w:rPr>
        <w:t>6) Recommendations for Week 6</w:t>
      </w:r>
    </w:p>
    <w:p>
      <w:pPr>
        <w:pStyle w:val="ListBullet"/>
      </w:pPr>
      <w:r>
        <w:t>Submit **0.020702-0.040395-0.785323-0.518892-0.010711** (top‑1). If it improves upon −0.455185, tighten a trust‑region (±0.02–0.03) primarily over **x3/x4** with 2–3 neighbours; keep **x5 near 0.01–0.03** and make small nudges to x1/x2 only. citeturn9search2</w:t>
      </w:r>
    </w:p>
    <w:p>
      <w:pPr>
        <w:pStyle w:val="ListBullet"/>
      </w:pPr>
      <w:r>
        <w:t>If no improvement, escalate exploration on the ridge: test **x4 in 0.80–0.95** at **x3≈0.75–0.90** (x5 low), and include **one global Sobol/LHS probe**; optionally raise **κ→2.5** and **ξ→0.02** to sustain exploration pressure. citeturn9search1turn9search2</w:t>
      </w:r>
    </w:p>
    <w:p>
      <w:pPr>
        <w:pStyle w:val="ListBullet"/>
      </w:pPr>
      <w:r>
        <w:t>Maintain standardisation and continue **NN hyperparameter BO** (e.g., widths 192–256, lr in 1e−3–3e−3, mild weight decay), given Week 5’s tuned setting **[256,256]/lr≈3.0e−3/wd≈1.6e−6** performed well in diagnostics. citeturn9search2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