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Function_7_Week_5_Analysis</w:t>
      </w:r>
    </w:p>
    <w:p>
      <w:r>
        <w:rPr>
          <w:b/>
          <w:sz w:val="24"/>
        </w:rPr>
        <w:t>1) Summary of Week 5 Outcomes</w:t>
      </w:r>
    </w:p>
    <w:p>
      <w:r>
        <w:t>Week 5 appended the Week 4 top-1 query (0.040131-0.349218-0.341567-0.252173-0.334346-0.927918) with an observed outcome of Y≈1.387704, updating the dataset to 34 points. The incumbent remains Y≈1.695379 at X_best≈[0.050799, 0.219675, 0.658786, 0.283849, 0.429209, 0.860711]. The workflow enabled an NN surrogate with PCA (use_nn=True, use_pca=True) and tuned HPs via HP-BO ([160,160,160], lr≈1.35e−4, wd≈1.14e−5). citeturn10search2turn10search1</w:t>
      </w:r>
    </w:p>
    <w:p>
      <w:r>
        <w:rPr>
          <w:b/>
          <w:sz w:val="24"/>
        </w:rPr>
        <w:t>2) Effectiveness of the Week 5 Strategy</w:t>
      </w:r>
    </w:p>
    <w:p>
      <w:pPr>
        <w:pStyle w:val="ListBullet"/>
      </w:pPr>
      <w:r>
        <w:t>Coherent continuation of the high-x6 ridge narrative: proposals keep x6 high (≈0.86–1.00) and explore x3 in mid–high bands (≈0.58–0.93), while x1/x2/x4/x5 remain in low–mid ranges—consistent with Week 4 insights. citeturn10search2turn10search1</w:t>
      </w:r>
    </w:p>
    <w:p>
      <w:pPr>
        <w:pStyle w:val="ListBullet"/>
      </w:pPr>
      <w:r>
        <w:t>Surrogate stack: NN+PCA with tuned architecture ([160,160,160]) and small learning rate provides a stable uncertainty profile for EI/UCB in 6D. SVM gating kept ~40% (threshold≈0.9819), and diversity metrics show measured spread (mean pairwise distance≈0.2883), indicating focused yet sufficiently varied proposals. citeturn10search2</w:t>
      </w:r>
    </w:p>
    <w:p>
      <w:pPr>
        <w:pStyle w:val="ListBullet"/>
      </w:pPr>
      <w:r>
        <w:t>Acquisition schedule: κ and ξ at base (κ=2.0, ξ=0.01). Given the appended point did not beat the incumbent, consider modestly increasing κ/ξ next round if improvements stall. citeturn10search2</w:t>
      </w:r>
    </w:p>
    <w:p>
      <w:r>
        <w:rPr>
          <w:b/>
          <w:sz w:val="24"/>
        </w:rPr>
        <w:t>3) Chart-Driven Observations (Surrogate/EI Slices &amp; Diagnostics)</w:t>
      </w:r>
    </w:p>
    <w:p>
      <w:pPr>
        <w:pStyle w:val="ListBullet"/>
      </w:pPr>
      <w:r>
        <w:t>Top‑k candidate means ~[x1≈0.075, x2≈0.130, x3≈0.730, x4≈0.189, x5≈0.394, x6≈0.910] with std concentrated in x1/x2/x3; this supports probing x3 while keeping x6 high, in line with the ridge that emerged across Weeks 3–4. citeturn10search2turn10search1</w:t>
      </w:r>
    </w:p>
    <w:p>
      <w:pPr>
        <w:pStyle w:val="ListBullet"/>
      </w:pPr>
      <w:r>
        <w:t>Ridge scans (x5,x6 at x3 fixed) visually confirm strong sensitivity to x6 and a tilt that depends on x3 level, reinforcing the choice to sweep x3 in mid–high ranges while keeping x6 high. citeturn10search2</w:t>
      </w:r>
    </w:p>
    <w:p>
      <w:r>
        <w:rPr>
          <w:b/>
          <w:sz w:val="24"/>
        </w:rPr>
        <w:t>4) Assessment of the New Query Point</w:t>
      </w:r>
    </w:p>
    <w:p>
      <w:r>
        <w:t>Top‑1 proposed for Week 5: **0.013695-0.058669-0.802307-0.180444-0.282277-0.935634**. Rationale: (a) it pushes **x3 high (~0.80)** and keeps **x6 very high (~0.94)**, aligning with the learned ridge; (b) it places x1/x2/x4/x5 in complementary low–mid bands to test whether the crest sharpens at this x3 level. This is a sensible exploitation‑plus‑exploration move in 6D. citeturn10search2</w:t>
      </w:r>
    </w:p>
    <w:p>
      <w:r>
        <w:rPr>
          <w:b/>
          <w:sz w:val="24"/>
        </w:rPr>
        <w:t>5) Integration with Week 4 Analysis</w:t>
      </w:r>
    </w:p>
    <w:p>
      <w:pPr>
        <w:pStyle w:val="ListBullet"/>
      </w:pPr>
      <w:r>
        <w:t>Week 4 set the best at [0.050799, 0.219675, 0.658786, 0.283849, 0.429209, 0.860711] and suggested a lower‑x3 probe at high x6 (0.040131-0.349218-0.341567-0.252173-0.334346-0.927918). Week 5 executed this and obtained ≈1.388, confirming the high‑x6 structure but not surpassing the best—hence the current move to **raise x3** while keeping **x6 high**. citeturn10search1turn10search2</w:t>
      </w:r>
    </w:p>
    <w:p>
      <w:pPr>
        <w:pStyle w:val="ListBullet"/>
      </w:pPr>
      <w:r>
        <w:t>Given EI concentration and ridge scans, continuing NN‑based proposals with x3 sweeps and high x6 is consistent with Week 4 recommendations, while keeping occasional global samples for safety. citeturn10search2</w:t>
      </w:r>
    </w:p>
    <w:p>
      <w:r>
        <w:rPr>
          <w:b/>
          <w:sz w:val="24"/>
        </w:rPr>
        <w:t>6) Recommendations for Week 6</w:t>
      </w:r>
    </w:p>
    <w:p>
      <w:pPr>
        <w:pStyle w:val="ListBullet"/>
      </w:pPr>
      <w:r>
        <w:t>Submit **0.013695-0.058669-0.802307-0.180444-0.282277-0.935634** (top‑1). If it improves, tighten a trust‑region (±0.02–0.03) around the new best and sample neighbours primarily varying x3 while keeping x6 high. citeturn10search2</w:t>
      </w:r>
    </w:p>
    <w:p>
      <w:pPr>
        <w:pStyle w:val="ListBullet"/>
      </w:pPr>
      <w:r>
        <w:t>If no improvement, consider a cross‑check slice: x3≈0.60–0.70 with x6≈0.86–0.95 (x1/x2/x4/x5 in low–mid), and include ≥1 global Sobol/LHS probe; optionally raise κ→2.5 and ξ→0.02 to sustain exploration in 6D. citeturn10search2</w:t>
      </w:r>
    </w:p>
    <w:p>
      <w:pPr>
        <w:pStyle w:val="ListBullet"/>
      </w:pPr>
      <w:r>
        <w:t>Maintain standardisation/noise bounds and continue NN hyperparameter BO (e.g., widths 160–192, lr≈1e−4–2e−4, mild weight decay), given Week 5’s tuned setting ([160,160,160], lr≈1.35e−4, wd≈1.14e−5). citeturn10search2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