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Function_8_Week_5_Analysis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(0.048933-0.072016-0.070924-0.242213-0.968198-0.367485-0.085691-0.784355) and observed Y≈9.908492, increasing the dataset to 44 points. The incumbent is now Y≈9.908492 at that location (i.e., the Week 4 suggestion became the new best). The workflow used an NN surrogate with PCA (use_nn=True, use_pca=True) with tuned hyperparameters via HP-BO ([160,160,160], learning_rate≈1.35e−4, weight_decay≈1.14e−5). citeturn11search1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The strategy is effective: pushing x5 to the extreme (~0.97–0.99) with moderate x6 (~0.37–0.59) and low x3 delivered a new best (≈9.91), validating the high‑x5/low‑x3 configuration while showing that x6 need not be maximised. citeturn11search2turn11search1</w:t>
      </w:r>
    </w:p>
    <w:p>
      <w:pPr>
        <w:pStyle w:val="ListBullet"/>
      </w:pPr>
      <w:r>
        <w:t>Model stack: NN+PCA with tuned HPs ([160,160,160], lr≈1.35e−4, wd≈1.14e−5) is appropriate for the 8D, large‑output landscape; ensemble uncertainty keeps EI/UCB well‑behaved. SVM gating kept ~40% (threshold≈0.9091) and diversity is strong (mean pairwise distance≈0.7354), indicating healthy exploration breadth after achieving a new best. citeturn11search1</w:t>
      </w:r>
    </w:p>
    <w:p>
      <w:pPr>
        <w:pStyle w:val="ListBullet"/>
      </w:pPr>
      <w:r>
        <w:t>Acquisition schedule stayed at κ=2.0, ξ=0.01. Since we improved, maintaining these base values is reasonable for one more round before considering adjustments. citeturn11search1</w:t>
      </w:r>
    </w:p>
    <w:p>
      <w:r>
        <w:rPr>
          <w:b/>
          <w:sz w:val="24"/>
        </w:rPr>
        <w:t>3) Chart-Driven Observations (Surrogate/EI Slices &amp; Diagnostics)</w:t>
      </w:r>
    </w:p>
    <w:p>
      <w:pPr>
        <w:pStyle w:val="ListBullet"/>
      </w:pPr>
      <w:r>
        <w:t>Top‑k candidate means are ~[x1≈0.096, x2≈0.267, x3≈0.026, x4≈0.353, x5≈0.896, x6≈0.587, x7≈0.079, x8≈0.179] with largest variability in x4 (std≈0.306) and x6 (std≈0.318) and small spread in x3 (std≈0.021), confirming the EI focus on high x5, low x3 and exploring x4/x6 trade‑offs. citeturn11search1</w:t>
      </w:r>
    </w:p>
    <w:p>
      <w:pPr>
        <w:pStyle w:val="ListBullet"/>
      </w:pPr>
      <w:r>
        <w:t>Ridge scans over (x5, x6) at low and mid x3 show the tilt of the ridge: EI mass persists at high x5, but the optimal x6 band shifts between ~0.35–0.85 depending on x3 level—consistent with the successful Week‑4 candidate at x6≈0.37. citeturn11search1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**0.015101-0.352319-0.066240-0.070343-0.988116-0.385792-0.014146-0.030806**. Rationale: it maintains **very high x5 (~0.99)** and **low x3 (~0.07)** while slightly **raising x6 (~0.39)** relative to the new best (0.37), and collapses **x4 and x8** toward lower values to test if trimming non‑ridge dims can further increase yield. This is a tight exploitation step with controlled variation around the newly‑validated crest. citeturn11search1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 identified a ridge dominated by **high x5/x6** and **low x3**; its top‑1 query (0.048933-0.072016-0.070924-0.242213-0.968198-0.367485-0.085691-0.784355) was executed in Week 5 and became the new best (≈9.91), confirming that **extreme x5 with moderate x6** outperforms prior high‑x6 settings. citeturn11search2turn11search1</w:t>
      </w:r>
    </w:p>
    <w:p>
      <w:pPr>
        <w:pStyle w:val="ListBullet"/>
      </w:pPr>
      <w:r>
        <w:t>The Week‑5 proposals continue to probe **x6 bands** and **trim x4/x8**, consistent with the Week‑4 guidance to refine on the ridge while retaining diversity (as reflected by the candidate spread and SVM gating). citeturn11search1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**0.015101-0.352319-0.066240-0.070343-0.988116-0.385792-0.014146-0.030806** (top‑1). If it improves upon 9.908492, lock a trust region (±0.02–0.03) around the new best and sample 2–3 neighbours varying **x6** and **x4**, keeping **x5 high** and **x3 low**. citeturn11search1</w:t>
      </w:r>
    </w:p>
    <w:p>
      <w:pPr>
        <w:pStyle w:val="ListBullet"/>
      </w:pPr>
      <w:r>
        <w:t>If no improvement, test a **higher‑x6 band (~0.80–0.85)** at **x5≈0.90–0.96** (x3 low), and include **one global Sobol/LHS** probe to hedge against secondary maxima; optionally increase **κ→2.5** and **ξ→0.02** if EI mass narrows excessively. citeturn11search1</w:t>
      </w:r>
    </w:p>
    <w:p>
      <w:pPr>
        <w:pStyle w:val="ListBullet"/>
      </w:pPr>
      <w:r>
        <w:t>Maintain standardisation/noise bounds and continue **NN hyperparameter BO** (widths 160–256, lr≈1e−4–2e−4, mild weight decay), as the current tuned setting ([160,160,160], lr≈1.35e−4, wd≈1.14e−5) performed well in diagnostics. citeturn11search1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