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Function_2_Week_6_Analysis</w:t>
      </w:r>
    </w:p>
    <w:p>
      <w:r>
        <w:t>**Executive summary**</w:t>
        <w:br/>
        <w:t>The updated Week 6 notebook confirms the top‑1 query **0.681244–0.349005** with observed **Y ≈ 0.599681** and the dataset growing **14 → 15**. Acquisition was slightly more exploratory than the earlier run (**κ=2.3**, **ξ=0.015**). SVM gating used **high_quantile≈0.60**, **keep_frac≈0.45**; ARD screening threshold **≈0.20**; trust region base radius **≈0.03**.</w:t>
      </w:r>
    </w:p>
    <w:p>
      <w:r>
        <w:t>**What the charts imply**</w:t>
        <w:br/>
        <w:t>• **EI/Posterior slices**: mass remains concentrated along **x1 ≈ 0.68** at **x2 ≈ 0.35**, consistent with a narrow ridge the model is exploiting.</w:t>
        <w:br/>
        <w:t>• **ARD**: x1 continues to dominate under the ARD screen (weak dims suppressed at threshold≈0.20).</w:t>
        <w:br/>
        <w:t>• **Diversity diagnostics**: top‑k after SVM gating is compact, as expected with a small trust region (base≈0.03) and tie‑break by UCB.</w:t>
      </w:r>
    </w:p>
    <w:p>
      <w:r>
        <w:t>**Result vs. run incumbent**</w:t>
        <w:br/>
        <w:t>Within the updated Week‑6 run, the best observed value is **≈ 0.599681** at **0.681244–0.349005** (i.e., the new query became the run’s incumbent).</w:t>
      </w:r>
    </w:p>
    <w:p>
      <w:r>
        <w:t>**Comment on the query**</w:t>
        <w:br/>
        <w:t>The pick **0.681244–0.349005** is still well‑justified: it exploits the x1‑dominant structure while validating the **x2≈0.35** corridor. The near‑incumbent outcome supports keeping a tight local scan, with a light exploratory nudge now that κ/ξ were raised.</w:t>
      </w:r>
    </w:p>
    <w:p>
      <w:r>
        <w:t>**Recommendations (next round)**</w:t>
        <w:br/>
        <w:t>1) **Micro‑scan x1** at **x2≈0.30–0.40**: take 2–3 neighbours ±0.02–0.03 around x1≈0.68–0.72.</w:t>
        <w:br/>
        <w:t>2) **Probe a lower‑x2 flank**: 1–2 points at **x2≈0.20–0.30** to test if the ridge ascends as x2 drops.</w:t>
        <w:br/>
        <w:t>3) **Maintain mild exploration**: keep **κ≈2.3**, **ξ≈0.015** for one more round; revert if the next step is sub‑incumbent.</w:t>
        <w:br/>
        <w:t>4) **Guard against model bias**: allow ≥1 lightly‑gated global candidate and keep **svm_keep_frac≈0.45** so the buffer doesn’t collapse.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