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Function_3_Week_6_Analysis</w:t>
      </w:r>
    </w:p>
    <w:p>
      <w:r>
        <w:br/>
        <w:t>This analysis evaluates the effectiveness of the Week 6 optimisation strategy by interpreting the output charts in Function 3 Week 6 and comparing them against insights derived from the Week 5 analysis.</w:t>
        <w:br/>
        <w:br/>
        <w:t>Overall Strategy Effectiveness:</w:t>
        <w:br/>
        <w:br/>
        <w:t>The Week 6 charts indicate that the Bayesian optimisation strategy remains effective and well-calibrated. Consistent with Week 5, the Expected Improvement (EI) surfaces remain highly concentrated along the x3 dimension, with x1 and x2 largely stabilised around the incumbent values. This confirms that the strategy correctly prioritises exploitation along the most sensitive dimension rather than redistributing search effort uniformly across all parameters.</w:t>
        <w:br/>
        <w:br/>
        <w:t>The ARD sensitivity diagnostics continue to show x3 as the dominant contributor to model variance, reinforcing that further movement along x1 or x2 would provide diminishing marginal gains. Compared to Week 5, the EI contours in Week 6 are tighter and more peaked, indicating increasing model confidence and reduced uncertainty around the current basin of attraction. This behaviour is consistent with a mature optimisation phase, where local refinement is expected.</w:t>
        <w:br/>
        <w:br/>
        <w:t>Analysis of Output Charts:</w:t>
        <w:br/>
        <w:br/>
        <w:t>The 1D and 2D slice plots in Week 6 suggest that the posterior mean improves smoothly as x3 increases from the incumbent value. The EI peak is not diffuse; rather, it forms a narrow ridge aligned with the x3 axis. This mirrors Week 5 findings, where the EI maximum progressed further along x3 while x1 and x2 remained fixed.</w:t>
        <w:br/>
        <w:br/>
        <w:t>EI and UCB histograms show reduced spread compared to the previous week. This reduction indicates successful contraction of the trust region and convergence toward a local optimum. Importantly, the presence of a clear EI maximum (rather than multiple competing peaks) suggests that the optimisation landscape around the incumbent is well understood by the surrogate model.</w:t>
        <w:br/>
        <w:br/>
        <w:t>Effectiveness Relative to Week 5:</w:t>
        <w:br/>
        <w:br/>
        <w:t>Week 5 demonstrated that increasing x3 from approximately 0.51 produced a tangible improvement in the objective value. Week 6 builds on this success by extending the exploration further along the same direction but with higher surrogate confidence. Unlike Week 5, where exploration parameters (kappa and xi) allowed some diversity, Week 6 is more decisively exploitative, as seen in both the candidate clustering and EI concentration.</w:t>
        <w:br/>
        <w:br/>
        <w:t>Importantly, the Week 6 plots do not reveal any competing EI mass in distant regions, implying that the global Sobol/LHS components are functioning as safeguards rather than drivers of the search. This supports the view that the trust-region-based refinement strategy is appropriate at this stage.</w:t>
        <w:br/>
        <w:br/>
        <w:t>Commentary on the New Query Point:</w:t>
        <w:br/>
        <w:br/>
        <w:t>The proposed new query point for Week 6 lies further along the x3 axis while preserving x1 and x2 at their incumbent values. This choice is strongly justified by the output charts. It coincides with the EI maximum observed in slice visualisations and remains within the model’s high-confidence region.</w:t>
        <w:br/>
        <w:br/>
        <w:t>Relative to Week 5’s query, this point represents a controlled extrapolation rather than a speculative jump. If evaluation at this point yields further improvement (i.e., a value closer to zero), it would confirm that the optimum lies along this ridge and justify even tighter local sampling. If performance plateaus or degrades, it would signal that the ridge peak has been passed and that exploration parameters should be relaxed or a secondary basin search initiated.</w:t>
        <w:br/>
        <w:br/>
        <w:t>Conclusion:</w:t>
        <w:br/>
        <w:br/>
        <w:t>In summary, the Week 6 charts demonstrate that the optimisation strategy is effective, coherent, and consistent with prior analysis. The transition from broader exploration to focused exploitation is clearly supported by the visual diagnostics. The new query point is well-founded, data-driven, and aligned with both the Week 5 conclusions and the Week 6 surrogate behaviour.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