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Function_4_Week_6_Analysis</w:t>
      </w:r>
    </w:p>
    <w:p>
      <w:r>
        <w:br/>
        <w:t>This section analyses the Week 6 optimisation results for Function 4 by interpreting the output charts in the Week 6 visualisation and integrating insights from the Week 5 analysis. The focus is on evaluating the effectiveness of the optimisation strategy and assessing the rationale behind the newly proposed query point.</w:t>
        <w:br/>
        <w:br/>
        <w:t>Overall Effectiveness of the Week 6 Strategy:</w:t>
        <w:br/>
        <w:br/>
        <w:t>The Week 6 charts indicate that the optimisation strategy has responded appropriately to the strong negative feedback observed in Week 5. Rather than persisting in the poorly performing low-x3/low-x4 region, the acquisition function has re-centred its search along dimensions identified as dominant through ARD sensitivity analysis. In particular, the continued emphasis on x3 and x4 reflects good model discipline, as x1 and x2 remain comparatively weak contributors.</w:t>
        <w:br/>
        <w:br/>
        <w:t>Relative to Week 5, the EI surfaces in Week 6 are more structured and less diffuse. This tightening suggests increased surrogate confidence and indicates that the optimisation process is transitioning from diagnostic exploration toward targeted exploitation. The strategy therefore appears both adaptive and stable, incorporating new evidence without over-correcting.</w:t>
        <w:br/>
        <w:br/>
        <w:t>Analysis of the Output Charts:</w:t>
        <w:br/>
        <w:br/>
        <w:t>The 1D and 2D GP slice plots show that Expected Improvement is concentrated within a narrow band in the (x3, x4) plane. This band lies above the near-zero x4 region that produced the poor outcome in the previous week, confirming that the model has learned effectively from negative evidence. The absence of strong EI mass in alternative regions suggests that no competing basin currently presents comparable promise.</w:t>
        <w:br/>
        <w:br/>
        <w:t>Histograms of EI and UCB scores show reduced spread compared with Week 5, implying lower uncertainty across the candidate set. Diversity metrics also indicate more controlled variation: x1 and x2 are effectively fixed, while x3 and x4 exhibit limited but meaningful spread. Collectively, these diagnostics indicate a well-calibrated exploitation phase rather than premature convergence.</w:t>
        <w:br/>
        <w:br/>
        <w:t>Effectiveness Relative to Week 5:</w:t>
        <w:br/>
        <w:br/>
        <w:t>Week 5 served a critical exploratory function by conclusively ruling out the low-x3/low-x4 corner of the search space. The Week 6 strategy builds directly on this information. Instead of abandoning the dominant dimensions, the algorithm has adjusted direction within the same subspace, increasing x4 while cautiously managing x3. This continuity demonstrates that the optimisation logic is cumulative rather than reactive.</w:t>
        <w:br/>
        <w:br/>
        <w:t>Compared with Week 5, global sampling appears to play a secondary, protective role, ensuring coverage without distracting from the primary search direction. This balance supports the view that the trust-region and ARD-driven refinement mechanisms are functioning as designed.</w:t>
        <w:br/>
        <w:br/>
        <w:t>Commentary on the New Query Point:</w:t>
        <w:br/>
        <w:br/>
        <w:t>The newly proposed query point for Week 6 lies within the EI maximum identified in the GP slice plots. By holding x1 and x2 constant and advancing along x4, the query directly tests whether improved performance can be recovered without immediately reintroducing strong interaction effects from x3.</w:t>
        <w:br/>
        <w:br/>
        <w:t>This choice represents a controlled and interpretable step. If the resulting evaluation improves upon the previous negative outcome, it would justify a local sweep in x4 to refine the optimum. Conversely, if performance remains poor, the charts suggest that a coupled increase in both x3 and x4 should be considered next. In either case, the new query point is well supported by the surrogate diagnostics.</w:t>
        <w:br/>
        <w:br/>
        <w:t>Conclusion:</w:t>
        <w:br/>
        <w:br/>
        <w:t>In summary, the Week 6 charts for Function 4 show that the optimisation strategy is effective, adaptive, and analytically coherent. The system has incorporated prior failures, refined its focus using ARD sensitivities, and selected a new query point that aligns closely with the structure of the acquisition landscape. This behaviour is indicative of a mature optimisation process progressing logically toward improved regions of the search space.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