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Function_5_Week_6_Analysis</w:t>
      </w:r>
    </w:p>
    <w:p>
      <w:r>
        <w:rPr>
          <w:b/>
        </w:rPr>
        <w:t>Purpose</w:t>
      </w:r>
    </w:p>
    <w:p>
      <w:r>
        <w:t>Analyse the Week 6 output charts for Function 5 to assess the effectiveness of the optimisation strategy and to comment on the newly executed query point. Prior insights from Week 5 are incorporated to provide continuity and context.</w:t>
      </w:r>
    </w:p>
    <w:p>
      <w:pPr>
        <w:pStyle w:val="Heading2"/>
      </w:pPr>
      <w:r>
        <w:t>1) Week 6 Snapshot and Data Update</w:t>
      </w:r>
    </w:p>
    <w:p>
      <w:r>
        <w:t>• Workflow &amp; model stack: Week 6 uses the neural-network surrogate with PCA (use_nn=True, use_pca=True), with EI/UCB used for acquisition and ARD+SVM applied for screening and gating. Candidate generation combines global Sobol/LHS sampling, a dimension-aware trust region, and targeted perturbations.</w:t>
      </w:r>
    </w:p>
    <w:p>
      <w:r>
        <w:t>• Configuration highlights: xi≈0.01 (EI), kappa≈2.0 (UCB); SVM keep fraction ≈0.40–0.50; trust-region base radius ≈0.03 scaled by 1/√D; global sampling factor O(10^3).</w:t>
      </w:r>
    </w:p>
    <w:p>
      <w:r>
        <w:t>• Data refresh: Week 6 appends the new evaluation to the dataset (X: 25×4, Y: 25). The executed query equals last week’s top-1 proposal: x≈[0.456947, 0.744090, 0.981199, 0.957066], returning Y≈1,904.42.</w:t>
      </w:r>
    </w:p>
    <w:p>
      <w:pPr>
        <w:pStyle w:val="Heading2"/>
      </w:pPr>
      <w:r>
        <w:t>2) Effectiveness of the Week 6 Strategy</w:t>
      </w:r>
    </w:p>
    <w:p>
      <w:r>
        <w:t>The strategic theme established in Week 4–5 was to keep x3/x4 high (≈0.96–0.99) and traverse the x1–x2 ridge. Week 6 adheres to this by moving to higher x2 while keeping x1 mid-range and x3/x4 high. The result improves upon the Week 5 appended outcome (≈1,784) but still trails the incumbent (≈2,346.998). This indicates the direction is productive but the crest of the ridge has not yet been surpassed.</w:t>
      </w:r>
    </w:p>
    <w:p>
      <w:r>
        <w:t>Chart diagnostics (EI/UCB histograms, EI pairplots, and slices) show acquisition mass concentrated along the x1–x2 manifold at high x3/x4. SVM gating retains roughly half the pool, and ARD screening continues to de-emphasise weak dimensions, which preserves search efficiency while preventing over-exploitation.</w:t>
      </w:r>
    </w:p>
    <w:p>
      <w:pPr>
        <w:pStyle w:val="Heading2"/>
      </w:pPr>
      <w:r>
        <w:t>3) Chart-Driven Observations</w:t>
      </w:r>
    </w:p>
    <w:p>
      <w:r>
        <w:t>• EI / UCB distributions: The spread remains moderate, consistent with a mature but not yet converged local search. The mixture of trust-region and global points provides a visible exploration floor in the histograms.</w:t>
      </w:r>
    </w:p>
    <w:p>
      <w:r>
        <w:t>• ARD &amp; diversity: ARD keeps emphasis on the high-impact dimensions (x3, x4), while top-k diversity statistics indicate most variance is still channelled through x1/x2, matching the ridge narrative.</w:t>
      </w:r>
    </w:p>
    <w:p>
      <w:pPr>
        <w:pStyle w:val="Heading2"/>
      </w:pPr>
      <w:r>
        <w:t>4) Commentary on the New Query Point</w:t>
      </w:r>
    </w:p>
    <w:p>
      <w:r>
        <w:t>Executed query (Week 6): x≈[0.456947, 0.744090, 0.981199, 0.957066] returned Y≈1,904.42. Rationale: (a) continue to exploit the high x3/x4 basin; (b) step along x2 to probe the slope of the ridge while holding x1 mid-range; (c) stay within a high-confidence region of the surrogate where EI peaks on the slices.</w:t>
      </w:r>
    </w:p>
    <w:p>
      <w:r>
        <w:t xml:space="preserve">Interpretation: The gain vs. the prior appended point confirms the movement along x2 is constructive, but the gap to the incumbent suggests either (i) a different x1/x2 mix at similar x3/x4, or (ii) small upward adjustments of x4 toward ≈0.98–0.99 may be needed. </w:t>
      </w:r>
    </w:p>
    <w:p>
      <w:pPr>
        <w:pStyle w:val="Heading2"/>
      </w:pPr>
      <w:r>
        <w:t>5) Integration with Week 5 Insights</w:t>
      </w:r>
    </w:p>
    <w:p>
      <w:r>
        <w:t>Week 5 established a strong incumbent at high x3/x4 and proposed the Week 6 query used here. The Week 6 outcome validates the proposal’s directionality by improving on the Week 5 appended result yet still leaves room below the incumbent. The model choice (NN+PCA) remains appropriate given the output scale and the concentration near x3/x4≈1.0.</w:t>
      </w:r>
    </w:p>
    <w:p>
      <w:pPr>
        <w:pStyle w:val="Heading2"/>
      </w:pPr>
      <w:r>
        <w:t>6) Recommendations for Week 7</w:t>
      </w:r>
    </w:p>
    <w:p>
      <w:r>
        <w:t>1) If the next evaluation improves toward the incumbent, run a tight trust-region sweep on x1/x2 (±0.02–0.03) with x3≈0.98 and x4≈0.98–0.99 to localise the crest.</w:t>
      </w:r>
    </w:p>
    <w:p>
      <w:r>
        <w:t>2) If improvement stalls, modestly raise exploration (e.g., kappa→2.5, xi→0.02) and include ≥1 global Sobol/LHS probe to hedge for a secondary ridge, while keeping x3/x4 high per ARD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