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Function_6_Week_6_Analysis</w:t>
      </w:r>
    </w:p>
    <w:p>
      <w:r>
        <w:rPr>
          <w:b/>
        </w:rPr>
        <w:t>Overview</w:t>
      </w:r>
    </w:p>
    <w:p>
      <w:r>
        <w:t>This report re-runs the Function 6 Week 6 analysis using the updated notebook. It interprets the output charts to assess strategy effectiveness, comments on the new query point, and folds in Week 5 insights to guide next steps.</w:t>
      </w:r>
    </w:p>
    <w:p>
      <w:pPr>
        <w:pStyle w:val="Heading2"/>
      </w:pPr>
      <w:r>
        <w:t>1) Week 6 Snapshot (updated notebook)</w:t>
      </w:r>
    </w:p>
    <w:p>
      <w:r>
        <w:rPr>
          <w:b/>
        </w:rPr>
        <w:t xml:space="preserve">• Surrogate stack: </w:t>
      </w:r>
      <w:r>
        <w:t>Neural network surrogate (use_nn=True) without PCA (use_pca=False); standardised Y; ARD feature screening enabled.</w:t>
      </w:r>
    </w:p>
    <w:p>
      <w:r>
        <w:rPr>
          <w:b/>
        </w:rPr>
        <w:t xml:space="preserve">• Acquisition: </w:t>
      </w:r>
      <w:r>
        <w:t>Elevated exploration settings: kappa≈2.3, xi≈0.015 (dynamic scheduler raised from base after prior lack of improvement).</w:t>
      </w:r>
    </w:p>
    <w:p>
      <w:r>
        <w:rPr>
          <w:b/>
        </w:rPr>
        <w:t xml:space="preserve">• Gating &amp; screening: </w:t>
      </w:r>
      <w:r>
        <w:t>SVM gating enabled (RBF, C≈1.0), keep_frac≈0.35 (adaptive), high_quantile≈0.65; ARD threshold ≈0.22.</w:t>
      </w:r>
    </w:p>
    <w:p>
      <w:r>
        <w:rPr>
          <w:b/>
        </w:rPr>
        <w:t xml:space="preserve">• Local vs global: </w:t>
      </w:r>
      <w:r>
        <w:t>Trust-region base radius ≈0.03 (dim-aware), large global pool n_global_factor≈3200 with explicit global-survivor floor.</w:t>
      </w:r>
    </w:p>
    <w:p>
      <w:pPr>
        <w:pStyle w:val="Heading2"/>
      </w:pPr>
      <w:r>
        <w:t>2) The Week 6 Query Point and Outcome</w:t>
      </w:r>
    </w:p>
    <w:p>
      <w:r>
        <w:rPr>
          <w:b/>
        </w:rPr>
        <w:t xml:space="preserve">Submitted query (top-1): </w:t>
      </w:r>
      <w:r>
        <w:t>x ≈ [0.020702, 0.040395, 0.785323, 0.518892, 0.010711]</w:t>
      </w:r>
    </w:p>
    <w:p>
      <w:r>
        <w:rPr>
          <w:b/>
        </w:rPr>
        <w:t xml:space="preserve">Observed outcome (Y): </w:t>
      </w:r>
      <w:r>
        <w:t>≈ -1.146606</w:t>
      </w:r>
    </w:p>
    <w:p>
      <w:r>
        <w:t>Dataset size grew from 24 → 25 after appending the Week 6 query.</w:t>
      </w:r>
    </w:p>
    <w:p>
      <w:pPr>
        <w:pStyle w:val="Heading2"/>
      </w:pPr>
      <w:r>
        <w:t>3) Effectiveness vs Week 5</w:t>
      </w:r>
    </w:p>
    <w:p>
      <w:r>
        <w:t>Week 5's incumbent remained at Y≈-0.455185 with a high-x3/high-x4, low-x5 configuration. The Week 6 top-1 point intentionally returned to high x3 (~0.79) but with mid x4 (~0.52) to test whether the ridge's crest sits off the very high-x4 band. The observed Y≈-1.147 is worse than the incumbent, so this specific (x3,x4) trade-off underperformed and likely sits below the main ridge crest.</w:t>
      </w:r>
    </w:p>
    <w:p>
      <w:pPr>
        <w:pStyle w:val="Heading2"/>
      </w:pPr>
      <w:r>
        <w:t>4) Chart‑Driven Observations (EI/UCB &amp; posterior)</w:t>
      </w:r>
    </w:p>
    <w:p>
      <w:r>
        <w:t>• The EI/UCB overlays and 2D slices continue to show a pronounced ridge over (x3, x4) with x5 near zero; EI mass concentrates at high x3 and mid-to-high x4.</w:t>
      </w:r>
    </w:p>
    <w:p>
      <w:r>
        <w:t>• Given the elevated κ/ξ and the global-survivor floor, the top-K candidate set avoided collapse; ARD screening keeps focus on the dominant x3/x4 surface while snapping weak dims toward median values for slice clarity.</w:t>
      </w:r>
    </w:p>
    <w:p>
      <w:pPr>
        <w:pStyle w:val="Heading2"/>
      </w:pPr>
      <w:r>
        <w:t>5) Recommendations for Week 7</w:t>
      </w:r>
    </w:p>
    <w:p>
      <w:r>
        <w:t>• Re-focus on the ridge where x3≈0.75–0.90 and x4≈0.80–0.95 while keeping x5≈0.01–0.03. Generate 2–3 neighbours in a trust region around any improving point.</w:t>
      </w:r>
    </w:p>
    <w:p>
      <w:r>
        <w:t>• Maintain κ at ~2.3 and ξ at ~0.015 for one more cycle; if still no uplift, step up to κ≈2.5 and ξ≈0.02 to further loosen EI focusing.</w:t>
      </w:r>
    </w:p>
    <w:p>
      <w:r>
        <w:t>• Ensure ≥1 global survivor post-gating (keep_frac may be relaxed to 0.35 unless diversity drops), and include one Sobol/LHS global probe as insurance.</w:t>
      </w:r>
    </w:p>
    <w:p>
      <w:r>
        <w:t>• Continue NN surrogate without PCA for Function 6 (given 5D), but keep ARD screening enabled to stabilise slices and focus capacity on x3/x4.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