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Function_7_Week_6_Analysis</w:t>
      </w:r>
    </w:p>
    <w:p>
      <w:r>
        <w:rPr>
          <w:b/>
        </w:rPr>
        <w:t>Overview</w:t>
      </w:r>
    </w:p>
    <w:p>
      <w:r>
        <w:t>This report analyses the Week 6 output for Function 7, reads the acquisition/posterior charts, and comments on the new query point. It also integrates the Week 5 insights to assess whether the Week 6 strategy remained effective.</w:t>
      </w:r>
    </w:p>
    <w:p>
      <w:pPr>
        <w:pStyle w:val="Heading2"/>
      </w:pPr>
      <w:r>
        <w:t>1) Week 6 Snapshot</w:t>
      </w:r>
    </w:p>
    <w:p>
      <w:r>
        <w:rPr>
          <w:b/>
        </w:rPr>
        <w:t xml:space="preserve">• Surrogate stack: </w:t>
      </w:r>
      <w:r>
        <w:t>Neural network surrogate with PCA (use_nn=True, use_pca=True); robust Y standardisation/noise bounds; PCA var_keep≈0.95.</w:t>
      </w:r>
    </w:p>
    <w:p>
      <w:r>
        <w:rPr>
          <w:b/>
        </w:rPr>
        <w:t xml:space="preserve">• Acquisition: </w:t>
      </w:r>
      <w:r>
        <w:t>UCB/EI at base: kappa≈2.0, xi≈0.01; batched scoring with large predict size for scalability.</w:t>
      </w:r>
    </w:p>
    <w:p>
      <w:r>
        <w:rPr>
          <w:b/>
        </w:rPr>
        <w:t xml:space="preserve">• Gating &amp; screening: </w:t>
      </w:r>
      <w:r>
        <w:t>SVM gating enabled (rbf, C≈1.0); keep_frac≈0.40; ARD feature screen threshold≈0.20.</w:t>
      </w:r>
    </w:p>
    <w:p>
      <w:r>
        <w:rPr>
          <w:b/>
        </w:rPr>
        <w:t xml:space="preserve">• Local search: </w:t>
      </w:r>
      <w:r>
        <w:t>Trust region base radius≈0.0255 (slightly tightened for ≥6D).</w:t>
      </w:r>
    </w:p>
    <w:p>
      <w:r>
        <w:rPr>
          <w:b/>
        </w:rPr>
        <w:t xml:space="preserve">• Global pool: </w:t>
      </w:r>
      <w:r>
        <w:t>n_global_factor≈2,200 with Sobol/LHS to preserve breadth before gating.</w:t>
      </w:r>
    </w:p>
    <w:p>
      <w:pPr>
        <w:pStyle w:val="Heading2"/>
      </w:pPr>
      <w:r>
        <w:t>2) The Week 6 Query Point and Outcome</w:t>
      </w:r>
    </w:p>
    <w:p>
      <w:r>
        <w:rPr>
          <w:b/>
        </w:rPr>
        <w:t xml:space="preserve">Submitted query (top-1): </w:t>
      </w:r>
      <w:r>
        <w:t>x ≈ [0.013695, 0.058669, 0.802307, 0.180444, 0.282277, 0.935634]</w:t>
      </w:r>
    </w:p>
    <w:p>
      <w:r>
        <w:rPr>
          <w:b/>
        </w:rPr>
        <w:t xml:space="preserve">Observed outcome (Y): </w:t>
      </w:r>
      <w:r>
        <w:t>≈ 1.183685</w:t>
      </w:r>
    </w:p>
    <w:p>
      <w:r>
        <w:t>Dataset size grew from 34 → 35 points after appending the Week 6 query.</w:t>
      </w:r>
    </w:p>
    <w:p>
      <w:pPr>
        <w:pStyle w:val="Heading2"/>
      </w:pPr>
      <w:r>
        <w:t>3) Effectiveness vs Week 5</w:t>
      </w:r>
    </w:p>
    <w:p>
      <w:r>
        <w:t>Week 5 set the incumbent around Y≈1.695 at X_best≈[0.050799, 0.219675, 0.658786, 0.283849, 0.429209, 0.860711] and recommended a Week 6 point that raises x3 while keeping x6 high. Week 6 executed that recommendation but returned a sub‑incumbent value (≈1.1837). This validates the high‑x6 ridge narrative yet indicates that the crest likely sits at a different x3 level or within a nearby x3–x6 corridor.</w:t>
      </w:r>
    </w:p>
    <w:p>
      <w:pPr>
        <w:pStyle w:val="Heading2"/>
      </w:pPr>
      <w:r>
        <w:t>4) Chart‑Driven Observations</w:t>
      </w:r>
    </w:p>
    <w:p>
      <w:r>
        <w:t>• EI/UCB concentration remains along the high‑x6 direction; ridge scans over (x5,x6) at fixed x3 levels show the tilt with x3, supporting the strategy to sweep x3 while keeping x6 high.</w:t>
      </w:r>
    </w:p>
    <w:p>
      <w:r>
        <w:t>• Top‑K diversity is preserved (no collapse observed) thanks to SVM gating at ~40% and global sampling; trust‑region tightening keeps the proposals focused but not duplicate‑clustered.</w:t>
      </w:r>
    </w:p>
    <w:p>
      <w:pPr>
        <w:pStyle w:val="Heading2"/>
      </w:pPr>
      <w:r>
        <w:t>5) Integration with Week 5 Insights</w:t>
      </w:r>
    </w:p>
    <w:p>
      <w:r>
        <w:t>Week 5 argued for continuing NN+PCA and keeping x6 very high while sweeping x3 in mid–high ranges. Week 6 followed this plan faithfully. Given the outcome was below the incumbent, the next step should probe nearby x3 slices at high x6 and retain one global hedge to protect against local surrogate bias.</w:t>
      </w:r>
    </w:p>
    <w:p>
      <w:pPr>
        <w:pStyle w:val="Heading2"/>
      </w:pPr>
      <w:r>
        <w:t>6) Recommendations for Week 7</w:t>
      </w:r>
    </w:p>
    <w:p>
      <w:r>
        <w:t>• Maintain the NN+PCA stack and current noise/standardisation settings.</w:t>
      </w:r>
    </w:p>
    <w:p>
      <w:r>
        <w:t>• Keep x6 high; sweep x3 in the neighbourhood of the Week‑6 setting (e.g., ±0.05 around 0.80) and one lower band (≈0.60–0.70) to test for a better crest.</w:t>
      </w:r>
    </w:p>
    <w:p>
      <w:r>
        <w:t>• Hold trust_radius_base≈0.0255 for one more round; if no improvement, consider a gentle exploration bump (e.g., kappa→2.3–2.5, xi→0.015–0.02).</w:t>
      </w:r>
    </w:p>
    <w:p>
      <w:r>
        <w:t>• Preserve ≥1 global candidate post‑gating (ensure_global_floor) to prevent myopic collapse.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