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Function_8_Week_6_Analysis</w:t>
      </w:r>
    </w:p>
    <w:p>
      <w:r>
        <w:rPr>
          <w:b/>
        </w:rPr>
        <w:t>Overview</w:t>
      </w:r>
    </w:p>
    <w:p>
      <w:r>
        <w:t>This report analyses the Week 6 output for Function 8, interprets the acquisition/posterior charts, and comments on the new query point. It integrates Week 5 insights to evaluate whether the Week 6 strategy remained effective.</w:t>
      </w:r>
    </w:p>
    <w:p>
      <w:pPr>
        <w:pStyle w:val="Heading2"/>
      </w:pPr>
      <w:r>
        <w:t>1) Week 6 Snapshot</w:t>
      </w:r>
    </w:p>
    <w:p>
      <w:r>
        <w:rPr>
          <w:b/>
        </w:rPr>
        <w:t xml:space="preserve">• Surrogate stack: </w:t>
      </w:r>
      <w:r>
        <w:t>Neural network surrogate with PCA (use_nn=True, use_pca=True); PCA variance keep ≈ 0.95; standardised Y; ARD feature screening enabled.</w:t>
      </w:r>
    </w:p>
    <w:p>
      <w:r>
        <w:rPr>
          <w:b/>
        </w:rPr>
        <w:t xml:space="preserve">• Acquisition: </w:t>
      </w:r>
      <w:r>
        <w:t>UCB/EI at base settings (kappa≈2.0, xi≈0.01); single-pass batched scoring with large batch size for scalability.</w:t>
      </w:r>
    </w:p>
    <w:p>
      <w:r>
        <w:rPr>
          <w:b/>
        </w:rPr>
        <w:t xml:space="preserve">• Gating &amp; screening: </w:t>
      </w:r>
      <w:r>
        <w:t>SVM gating enabled (rbf, C≈1.0), keep_frac≈0.40–0.50; adaptive relax if buffer collapses; ARD threshold ≈ 0.20.</w:t>
      </w:r>
    </w:p>
    <w:p>
      <w:r>
        <w:rPr>
          <w:b/>
        </w:rPr>
        <w:t xml:space="preserve">• Local search: </w:t>
      </w:r>
      <w:r>
        <w:t>Trust-region base radius ≈ 0.0255 (scaled down for D≥6).</w:t>
      </w:r>
    </w:p>
    <w:p>
      <w:r>
        <w:rPr>
          <w:b/>
        </w:rPr>
        <w:t xml:space="preserve">• Global pool: </w:t>
      </w:r>
      <w:r>
        <w:t>n_global_factor ≈ 3,500 (coverage for 8D); ensure ≥1 global survivor after gating.</w:t>
      </w:r>
    </w:p>
    <w:p>
      <w:pPr>
        <w:pStyle w:val="Heading2"/>
      </w:pPr>
      <w:r>
        <w:t>2) The Week 6 Query Point and Outcome</w:t>
      </w:r>
    </w:p>
    <w:p>
      <w:r>
        <w:rPr>
          <w:b/>
        </w:rPr>
        <w:t xml:space="preserve">Submitted query (top-1): </w:t>
      </w:r>
      <w:r>
        <w:t>x ≈ [0.015101, 0.352319, 0.066240, 0.070343, 0.988116, 0.385792, 0.014146, 0.030806]</w:t>
      </w:r>
    </w:p>
    <w:p>
      <w:r>
        <w:rPr>
          <w:b/>
        </w:rPr>
        <w:t xml:space="preserve">Observed outcome (Y): </w:t>
      </w:r>
      <w:r>
        <w:t>≈ 9.793891</w:t>
      </w:r>
    </w:p>
    <w:p>
      <w:r>
        <w:t>Dataset size grew from 44 → 45 after appending the Week 6 query.</w:t>
      </w:r>
    </w:p>
    <w:p>
      <w:pPr>
        <w:pStyle w:val="Heading2"/>
      </w:pPr>
      <w:r>
        <w:t>3) Effectiveness vs Week 5</w:t>
      </w:r>
    </w:p>
    <w:p>
      <w:r>
        <w:t>Week 5 established a new incumbent (Y≈9.908) at high x5 (≈0.97–0.99), low x3 (~0.07) and moderate x6 (~0.37). Week 6 intentionally repeated this pattern—keeping x5 very high and x3 low while nudging x6 slightly higher (~0.39). The result (≈9.794) is solid but sub‑incumbent, indicating the crest remains in this region but likely at a slightly different x6 band or with small adjustments to non‑ridge dimensions (e.g., x4/x8).</w:t>
      </w:r>
    </w:p>
    <w:p>
      <w:pPr>
        <w:pStyle w:val="Heading2"/>
      </w:pPr>
      <w:r>
        <w:t>4) Chart‑Driven Observations</w:t>
      </w:r>
    </w:p>
    <w:p>
      <w:r>
        <w:t>• EI/UCB mass remains concentrated along the high‑x5 ridge at low x3; 2D slices and ridge‑scans over (x5, x6) show that the optimal x6 band shifts with x3 level.</w:t>
      </w:r>
    </w:p>
    <w:p>
      <w:r>
        <w:t>• Diversity remains healthy: SVM gating plus a large global pool (n_global_factor≈3500) avoids candidate collapse; diagnostics (pairplots, EI histograms) show spread rather than over‑clustering.</w:t>
      </w:r>
    </w:p>
    <w:p>
      <w:pPr>
        <w:pStyle w:val="Heading2"/>
      </w:pPr>
      <w:r>
        <w:t>5) Recommendations for Week 7</w:t>
      </w:r>
    </w:p>
    <w:p>
      <w:r>
        <w:t>• Continue NN+PCA with current standardisation/noise bounds.</w:t>
      </w:r>
    </w:p>
    <w:p>
      <w:r>
        <w:t>• Keep x5 very high and x3 low; sweep x6 in two bands: around ~0.35–0.45 (incumbent band) and a higher band ~0.80–0.85 as a structured hedge.</w:t>
      </w:r>
    </w:p>
    <w:p>
      <w:r>
        <w:t>• Maintain trust_region base ≈0.0255 for one more round; if no improvement, modestly increase exploration (e.g., kappa→2.3–2.5, xi→0.015–0.02).</w:t>
      </w:r>
    </w:p>
    <w:p>
      <w:r>
        <w:t>• Guarantee ≥1 global candidate post‑gating and monitor top‑K diversity; if EI narrows, temporarily relax keep_frac (e.g., to ~0.35) to preserve breadth.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