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Function_3_Week_10_Analysis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Bottom line: </w:t>
      </w:r>
      <w:r>
        <w:t>The Week 10 diagnostics for Function 3 indicate that the Recovery Strict Mode is largely doing its job—diversity is controlled but non‑degenerate (mean pairwise distance ≈ 0.2265), and ARD flags x₃ as dominant while x₂ is weak. However, the top‑k spread concentrates on x₂ (std ≈ 0.155) with almost no movement in x₃ (std ≈ 0.002), which conflicts with the ARD signal. The new query from Week 9 returned a negative Y (≈ -0.108), so the incumbent remains unchanged.</w:t>
      </w:r>
    </w:p>
    <w:p>
      <w:pPr>
        <w:pStyle w:val="Heading1"/>
      </w:pPr>
      <w:r>
        <w:t>New observation (from Week 9 submission)</w:t>
      </w:r>
    </w:p>
    <w:p>
      <w:r>
        <w:rPr>
          <w:b/>
        </w:rPr>
        <w:t xml:space="preserve">Submitted point: </w:t>
      </w:r>
      <w:r>
        <w:t>X = [0.046891, 0.022816, 0.518546]</w:t>
      </w:r>
      <w:r>
        <w:rPr>
          <w:b/>
        </w:rPr>
        <w:br/>
        <w:t xml:space="preserve">Outcome: </w:t>
      </w:r>
      <w:r>
        <w:t>Y ≈ -0.108418 (no improvement vs incumbent).</w:t>
      </w:r>
    </w:p>
    <w:p>
      <w:pPr>
        <w:pStyle w:val="Heading1"/>
      </w:pPr>
      <w:r>
        <w:t>Week 10 charts — diversity &amp; ARD</w:t>
      </w:r>
    </w:p>
    <w:p>
      <w:r>
        <w:rPr>
          <w:b/>
        </w:rPr>
        <w:t xml:space="preserve">Diversity (top‑k candidates): </w:t>
      </w:r>
      <w:r>
        <w:t>mean pairwise distance = 0.2265; per‑dim std = [0.038, 0.155, 0.002].</w:t>
      </w:r>
    </w:p>
    <w:p>
      <w:r>
        <w:rPr>
          <w:b/>
        </w:rPr>
        <w:t>ARD sensitivities (abs / rel / keep):</w:t>
      </w:r>
    </w:p>
    <w:p>
      <w:pPr>
        <w:pStyle w:val="ListBullet"/>
      </w:pPr>
      <w:r>
        <w:t>dim 1: sens=1.4948, rel=0.256, keep=True</w:t>
      </w:r>
    </w:p>
    <w:p>
      <w:pPr>
        <w:pStyle w:val="ListBullet"/>
      </w:pPr>
      <w:r>
        <w:t>dim 2: sens=0.3607, rel=0.062, keep=False</w:t>
      </w:r>
    </w:p>
    <w:p>
      <w:pPr>
        <w:pStyle w:val="ListBullet"/>
      </w:pPr>
      <w:r>
        <w:t>dim 3: sens=5.8487, rel=1.000, keep=True</w:t>
      </w:r>
    </w:p>
    <w:p>
      <w:pPr>
        <w:pStyle w:val="Heading1"/>
      </w:pPr>
      <w:r>
        <w:t>Is the strategy effective?</w:t>
      </w:r>
    </w:p>
    <w:p>
      <w:pPr>
        <w:pStyle w:val="ListBullet"/>
      </w:pPr>
      <w:r>
        <w:t>Stability: The strict‑mode guardrails (global farthest‑point insurance + global floor) have prevented collapse and preserved a meaningful candidate spread.</w:t>
      </w:r>
    </w:p>
    <w:p>
      <w:pPr>
        <w:pStyle w:val="ListBullet"/>
      </w:pPr>
      <w:r>
        <w:t>Signal: ARD clearly prioritises x₃ (rel=1.000) and keeps x₁ (rel=0.256), while dropping x₂ (rel=0.062).</w:t>
      </w:r>
    </w:p>
    <w:p>
      <w:pPr>
        <w:pStyle w:val="ListBullet"/>
      </w:pPr>
      <w:r>
        <w:t>Mismatch to proposals: top‑k stds show x₂ varying (0.155) and x₃ almost fixed (0.002). This suggests the proposal stage isn’t fully respecting the ARD mask and median‑snapping for dropped dims.</w:t>
      </w:r>
    </w:p>
    <w:p>
      <w:pPr>
        <w:pStyle w:val="Heading1"/>
      </w:pPr>
      <w:r>
        <w:t>Comment on the new query point</w:t>
      </w:r>
    </w:p>
    <w:p>
      <w:r>
        <w:t>The Week‑9 submission was likely admitted via the geometric‑insurance branch (farthest‑point). Its negative outcome (Y&lt;0) is acceptable in strict‑mode as the price of regaining global coverage. It did not shift the incumbent and reinforces the need to bias exploration along the ARD‑kept axes (x₁ and x₃).</w:t>
      </w:r>
    </w:p>
    <w:p>
      <w:pPr>
        <w:pStyle w:val="Heading1"/>
      </w:pPr>
      <w:r>
        <w:t>Recommendations for Week 11</w:t>
      </w:r>
    </w:p>
    <w:p>
      <w:pPr>
        <w:pStyle w:val="ListBullet"/>
      </w:pPr>
      <w:r>
        <w:t>Respect ARD in proposal generation: snap dropped dim x₂ to its median when assembling trust‑region and perturbation candidates; emphasise movement along x₁ and x₃.</w:t>
      </w:r>
    </w:p>
    <w:p>
      <w:pPr>
        <w:pStyle w:val="ListBullet"/>
      </w:pPr>
      <w:r>
        <w:t>Keep strict‑mode geometric insurance ON: always include one farthest global candidate after top‑k ranking and enforce a global‑floor in the final pool.</w:t>
      </w:r>
    </w:p>
    <w:p>
      <w:pPr>
        <w:pStyle w:val="ListBullet"/>
      </w:pPr>
      <w:r>
        <w:t>Use small, safe local moves: keep perturbation rate around 0.06 and trust‑radius base ≈ 0.02, as per Week‑9 plan.</w:t>
      </w:r>
    </w:p>
    <w:p>
      <w:pPr>
        <w:pStyle w:val="ListBullet"/>
      </w:pPr>
      <w:r>
        <w:t>Audit the top‑k selection: verify that SVM/filters are OFF and that the ARD mask is applied before final ranking to reduce wasteful variation in x₂.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