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Function_4_Week_10_Analysis</w:t>
      </w:r>
    </w:p>
    <w:p>
      <w:r>
        <w:rPr>
          <w:b/>
        </w:rPr>
        <w:t>Executive summary</w:t>
      </w:r>
    </w:p>
    <w:p>
      <w:r>
        <w:t>Week 10 shows limited effectiveness of the Function 4 strategy: despite staying on the high-x3/x4 ridge, the newly submitted point underperformed (negative Y). Top‑k proposal diversity appears to have collapsed relative to Week 9, suggesting over‑exploitation and potential model overconfidence. We recommend reinforcing strict‑mode exploration insurance, broadening the global pool, and nudging lateral movement across x1/x2 while keeping x3≈1.0 and x4≈0.96–1.00.</w:t>
      </w:r>
    </w:p>
    <w:p>
      <w:r>
        <w:rPr>
          <w:b/>
        </w:rPr>
        <w:t>What the Week 10 charts show</w:t>
      </w:r>
    </w:p>
    <w:p>
      <w:pPr>
        <w:pStyle w:val="ListBullet"/>
      </w:pPr>
      <w:r>
        <w:t>New observation at portal top‑1: X ≈ [0.430094, 0.501206, 0.998135, 0.988184], Y ≈ −29.9615 (added to dataset).</w:t>
      </w:r>
    </w:p>
    <w:p>
      <w:pPr>
        <w:pStyle w:val="ListBullet"/>
      </w:pPr>
      <w:r>
        <w:t>Top‑k candidate spread (means): x1≈0.446, x2≈0.731, x3≈1.000, x4≈0.927; (std): x1≈0.005, x2≈0.002, x3≈0.000, x4≈0.006 — indicating collapse around a narrow patch.</w:t>
      </w:r>
    </w:p>
    <w:p>
      <w:pPr>
        <w:pStyle w:val="ListBullet"/>
      </w:pPr>
      <w:r>
        <w:t>Configuration/constraints noted in logs: trust_radius_base≈0.03, n_trust_base≈48; hard_bounds present on x2 (0.00–0.80).</w:t>
      </w:r>
    </w:p>
    <w:p>
      <w:r>
        <w:rPr>
          <w:b/>
        </w:rPr>
        <w:t>Contrast with Week 9</w:t>
      </w:r>
    </w:p>
    <w:p>
      <w:pPr>
        <w:pStyle w:val="ListBullet"/>
      </w:pPr>
      <w:r>
        <w:t>Week 9 incumbent: Y ≈ 1747.71 at X ≈ [0.445848, 0.740499, 0.995147, 0.922830].</w:t>
      </w:r>
    </w:p>
    <w:p>
      <w:pPr>
        <w:pStyle w:val="ListBullet"/>
      </w:pPr>
      <w:r>
        <w:t>Week 9 proposed top‑5 were well‑spread in x1–x2 with x3, x4 kept high; diversity metrics healthy (mean pairwise distance ≈ 0.4356; per‑dim std ≈ [0.175, 0.243, 0.004, 0.012]).</w:t>
      </w:r>
    </w:p>
    <w:p>
      <w:pPr>
        <w:pStyle w:val="ListBullet"/>
      </w:pPr>
      <w:r>
        <w:t>Week 9 ARD snapshot retained all four dims (sensitivities: dim3&gt;dim4≫dim1≈dim2), supporting high‑x3/x4 ridge with lateral moves on x1/x2.</w:t>
      </w:r>
    </w:p>
    <w:p>
      <w:r>
        <w:rPr>
          <w:b/>
        </w:rPr>
        <w:t>Comment on the new query point</w:t>
      </w:r>
    </w:p>
    <w:p>
      <w:r>
        <w:t>The submitted point adheres to the intended ridge strategy (x3≈0.998, x4≈0.988) with moderate lateral shifts in x1/x2. However, its measured Y was strongly negative, contradicting the model’s expectation near the Week 9 incumbent. This points to either local non‑stationarity/noise, a mis‑estimated uncertainty (overconfidence), or a potential objective/measurement issue. The simultaneous collapse in top‑k stds reinforces the risk of over‑exploitation without sufficient geometric insurance.</w:t>
      </w:r>
    </w:p>
    <w:p>
      <w:r>
        <w:rPr>
          <w:b/>
        </w:rPr>
        <w:t>Recommendations for Week 11</w:t>
      </w:r>
    </w:p>
    <w:p>
      <w:pPr>
        <w:pStyle w:val="ListBullet"/>
      </w:pPr>
      <w:r>
        <w:t>Keep strict‑mode guardrails: always append one farthest global point and enforce a global floor before final selection.</w:t>
      </w:r>
    </w:p>
    <w:p>
      <w:pPr>
        <w:pStyle w:val="ListBullet"/>
      </w:pPr>
      <w:r>
        <w:t>Increase n_global_factor for Function 4 runs by ~20–30% and ensure at least one candidate departs the narrow x1/x2 band each round.</w:t>
      </w:r>
    </w:p>
    <w:p>
      <w:pPr>
        <w:pStyle w:val="ListBullet"/>
      </w:pPr>
      <w:r>
        <w:t>Maintain high x3/x4 (≈0.98–1.00 / 0.96–1.00) but expand trust‑region perturbations laterally across x1 and x2.</w:t>
      </w:r>
    </w:p>
    <w:p>
      <w:pPr>
        <w:pStyle w:val="ListBullet"/>
      </w:pPr>
      <w:r>
        <w:t>Re‑check GP settings: confirm standardize_y=True and review noise bounds; if residuals remain heavy‑tailed, consider modest ν (Matern 2.5) and/or a wider noise prior.</w:t>
      </w:r>
    </w:p>
    <w:p>
      <w:pPr>
        <w:pStyle w:val="ListBullet"/>
      </w:pPr>
      <w:r>
        <w:t>Data hygiene: validate the negative outcome for the new point (units/signs, portal export, transformation), given the sharp contrast with Week 9.</w:t>
      </w:r>
    </w:p>
    <w:p>
      <w:r>
        <w:rPr>
          <w:b/>
        </w:rPr>
        <w:t>Appendix — key numbers pulled from the charts/logs</w:t>
      </w:r>
    </w:p>
    <w:p>
      <w:pPr>
        <w:pStyle w:val="ListBullet"/>
      </w:pPr>
      <w:r>
        <w:t>Week 10 — New X: [0.430094, 0.501206, 0.998135, 0.988184]; New Y: −29.9615</w:t>
      </w:r>
    </w:p>
    <w:p>
      <w:pPr>
        <w:pStyle w:val="ListBullet"/>
      </w:pPr>
      <w:r>
        <w:t>Week 10 — Top‑k means/std: means [0.446, 0.731, 1.000, 0.927]; std [0.005, 0.002, 0.000, 0.006]</w:t>
      </w:r>
    </w:p>
    <w:p>
      <w:pPr>
        <w:pStyle w:val="ListBullet"/>
      </w:pPr>
      <w:r>
        <w:t>Week 9 — Incumbent: Y ≈ 1747.71 at X ≈ [0.445848, 0.740499, 0.995147, 0.922830]</w:t>
      </w:r>
    </w:p>
    <w:p>
      <w:pPr>
        <w:pStyle w:val="ListBullet"/>
      </w:pPr>
      <w:r>
        <w:t>Week 9 — Diversity (top‑k): mpd ≈ 0.4356; per‑dim std ≈ [0.175, 0.243, 0.004, 0.012]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