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Function_1_Week_10_Analysis</w:t>
      </w:r>
    </w:p>
    <w:p>
      <w:pPr>
        <w:pStyle w:val="Heading1"/>
      </w:pPr>
      <w:r>
        <w:t>Executive summary</w:t>
      </w:r>
    </w:p>
    <w:p>
      <w:r>
        <w:rPr>
          <w:b/>
        </w:rPr>
        <w:t xml:space="preserve">Strategy: </w:t>
      </w:r>
      <w:r>
        <w:t>Max–Min geometric exploration with farthest‑point selection; SVM off; large global pool (continued).</w:t>
        <w:br/>
      </w:r>
      <w:r>
        <w:rPr>
          <w:b/>
        </w:rPr>
        <w:t xml:space="preserve">Effectiveness: </w:t>
      </w:r>
      <w:r>
        <w:t>Exploration efficacy remains high: diversity improved from mean pairwise distance ≈ 0.6144 (Week 9) to 0.7827 (Week 10), and per‑dimension std increased from [0.331, 0.273] to [0.36, 0.387]. Outputs remain near‑zero as expected for a sparse/near‑flat Function 1; success is measured by coverage rather than immediate gain.</w:t>
      </w:r>
    </w:p>
    <w:p>
      <w:pPr>
        <w:pStyle w:val="Heading1"/>
      </w:pPr>
      <w:r>
        <w:t>Week 10 charts — key diagnostics</w:t>
      </w:r>
    </w:p>
    <w:p>
      <w:r>
        <w:rPr>
          <w:b/>
        </w:rPr>
        <w:t xml:space="preserve">New observation at Week 9 query </w:t>
      </w:r>
      <w:r>
        <w:t>(0.427606-0.461389) returned Y ≈ -0.001877 (near zero).</w:t>
        <w:br/>
      </w:r>
      <w:r>
        <w:rPr>
          <w:b/>
        </w:rPr>
        <w:t xml:space="preserve">Diversity metrics: </w:t>
      </w:r>
      <w:r>
        <w:t>mean pairwise distance = 0.7827; per‑dimension std = [0.36, 0.387].</w:t>
        <w:br/>
      </w:r>
      <w:r>
        <w:rPr>
          <w:b/>
        </w:rPr>
        <w:t xml:space="preserve">ARD sensitivities: </w:t>
      </w:r>
      <w:r>
        <w:t>dim1 sens = 18.9433; dim2 sens = 9.7038 — both kept; dim1 shows higher relative sensitivity.</w:t>
        <w:br/>
      </w:r>
      <w:r>
        <w:rPr>
          <w:b/>
        </w:rPr>
        <w:t xml:space="preserve">Proposed next queries (top 5): </w:t>
      </w:r>
    </w:p>
    <w:p>
      <w:pPr>
        <w:pStyle w:val="ListNumber"/>
      </w:pPr>
      <w:r>
        <w:t>1. 0.998745-0.000797</w:t>
      </w:r>
    </w:p>
    <w:p>
      <w:pPr>
        <w:pStyle w:val="ListNumber"/>
      </w:pPr>
      <w:r>
        <w:t>2. 0.014636-0.695996</w:t>
      </w:r>
    </w:p>
    <w:p>
      <w:pPr>
        <w:pStyle w:val="ListNumber"/>
      </w:pPr>
      <w:r>
        <w:t>3. 0.994902-0.994222</w:t>
      </w:r>
    </w:p>
    <w:p>
      <w:pPr>
        <w:pStyle w:val="ListNumber"/>
      </w:pPr>
      <w:r>
        <w:t>4. 0.732112-0.009900</w:t>
      </w:r>
    </w:p>
    <w:p>
      <w:pPr>
        <w:pStyle w:val="ListNumber"/>
      </w:pPr>
      <w:r>
        <w:t>5. 0.672173-0.435455</w:t>
      </w:r>
    </w:p>
    <w:p>
      <w:pPr>
        <w:pStyle w:val="Heading1"/>
      </w:pPr>
      <w:r>
        <w:t>Effectiveness of the current strategy</w:t>
      </w:r>
    </w:p>
    <w:p>
      <w:pPr>
        <w:pStyle w:val="ListBullet"/>
      </w:pPr>
      <w:r>
        <w:t>High diversity confirms the Max–Min geometric approach is preventing model collapse and maintaining broad coverage.</w:t>
      </w:r>
    </w:p>
    <w:p>
      <w:pPr>
        <w:pStyle w:val="ListBullet"/>
      </w:pPr>
      <w:r>
        <w:t>Per‑dimension spread increased in both x₁ and x₂, reducing the risk of missing narrow “hot” regions if they exist.</w:t>
      </w:r>
    </w:p>
    <w:p>
      <w:pPr>
        <w:pStyle w:val="ListBullet"/>
      </w:pPr>
      <w:r>
        <w:t>ARD shows both dimensions contribute meaningfully (dim1&gt;dim2), so continuing to sample across both axes remains justified.</w:t>
      </w:r>
    </w:p>
    <w:p>
      <w:pPr>
        <w:pStyle w:val="ListBullet"/>
      </w:pPr>
      <w:r>
        <w:t>Near‑zero Y is consistent with prior weeks; this neither validates nor falsifies the presence of sparse sources but supports continued exploration.</w:t>
      </w:r>
    </w:p>
    <w:p>
      <w:pPr>
        <w:pStyle w:val="Heading1"/>
      </w:pPr>
      <w:r>
        <w:t>Comment on the new query point</w:t>
      </w:r>
    </w:p>
    <w:p>
      <w:r>
        <w:t>The Week 9 portal submission 0.427606-0.461389 produced Y ≈ -0.001877. Given Function 1’s near‑flat/noisy profile, this outcome is expected. The value adds coverage in the interior region and helps the surrogate recalibrate uncertainty, which in turn sharpened the Week 10 candidate ranking (now favouring a corner probe).</w:t>
      </w:r>
    </w:p>
    <w:p>
      <w:pPr>
        <w:pStyle w:val="Heading1"/>
      </w:pPr>
      <w:r>
        <w:t>Recommendations for Week 11</w:t>
      </w:r>
    </w:p>
    <w:p>
      <w:pPr>
        <w:pStyle w:val="ListBullet"/>
      </w:pPr>
      <w:r>
        <w:t>Submit the top candidate 0.998745-0.000797 to probe a corner while respecting constraints; this aligns with last week’s plan to occasionally seed corners.</w:t>
      </w:r>
    </w:p>
    <w:p>
      <w:pPr>
        <w:pStyle w:val="ListBullet"/>
      </w:pPr>
      <w:r>
        <w:t>Continue the Max–Min geometric exploration with a large global pool; maintain trust‑region perturbations at a small radius to avoid clustering.</w:t>
      </w:r>
    </w:p>
    <w:p>
      <w:pPr>
        <w:pStyle w:val="ListBullet"/>
      </w:pPr>
      <w:r>
        <w:t>If outputs remain flat next round, modestly increase the global candidate factor again; keep x₂ ≤ 0.80 as enforced in prior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