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Function_5_Week_10_Analysis</w:t>
      </w:r>
    </w:p>
    <w:p>
      <w:r>
        <w:rPr>
          <w:b/>
        </w:rPr>
        <w:t>Executive summary</w:t>
      </w:r>
    </w:p>
    <w:p>
      <w:r>
        <w:t>Week 10 maintains high absolute performance for Function 5 but does not exceed the Week 9 peak. The new query evaluated near the high‑x3/high‑x4 ridge returned Y≈2590.79, which is strong yet below the Week 9 best (Y≈2881.36). Given the tighter trust‑region strategy and reduced PCA/filters, this outcome is consistent with controlled exploitation plus light insurance. Continue to keep a ridge‑keeper candidate each round, and ensure one far global candidate to guard against local over‑fitting.</w:t>
      </w:r>
    </w:p>
    <w:p>
      <w:r>
        <w:rPr>
          <w:b/>
        </w:rPr>
        <w:t>What the Week 10 charts/logs show</w:t>
      </w:r>
    </w:p>
    <w:p>
      <w:pPr>
        <w:pStyle w:val="ListBullet"/>
      </w:pPr>
      <w:r>
        <w:t>New observation appended this week: X ≈ [0.810389, 0.395809, 0.988672, 0.995824], Y ≈ 2590.7938 (now best in the Week‑10 set).</w:t>
      </w:r>
    </w:p>
    <w:p>
      <w:pPr>
        <w:pStyle w:val="ListBullet"/>
      </w:pPr>
      <w:r>
        <w:t>The new X stays on the high‑x3/high‑x4 ridge (x3≈0.989, x4≈0.996) with modest lateral shifts in x1/x2—aligned with the exploitation plan.</w:t>
      </w:r>
    </w:p>
    <w:p>
      <w:pPr>
        <w:pStyle w:val="ListBullet"/>
      </w:pPr>
      <w:r>
        <w:t>Config visible in logs matches the Week‑10 refinement stance: xi≈0.01, kappa≈2.5, n_global_factor≈3000, trust_radius_base≈0.005; SVM off; PCA off.</w:t>
      </w:r>
    </w:p>
    <w:p>
      <w:pPr>
        <w:pStyle w:val="ListBullet"/>
      </w:pPr>
      <w:r>
        <w:t>Full numeric top‑k diversity and ARD arrays are embedded as images in the HTML and not text‑extractable; however, diagnostics were executed (EI/UCB histograms, pairplots), indicating the pipeline tracked diversity and sensitivity as usual.</w:t>
      </w:r>
    </w:p>
    <w:p>
      <w:r>
        <w:rPr>
          <w:b/>
        </w:rPr>
        <w:t>Contrast with Week 9</w:t>
      </w:r>
    </w:p>
    <w:p>
      <w:pPr>
        <w:pStyle w:val="ListBullet"/>
      </w:pPr>
      <w:r>
        <w:t>Week 9 peak: Y ≈ 2881.36 at X ≈ [0.832212, 0.383312, 0.999999, 0.999999] (strong ridge alignment).</w:t>
      </w:r>
    </w:p>
    <w:p>
      <w:pPr>
        <w:pStyle w:val="ListBullet"/>
      </w:pPr>
      <w:r>
        <w:t>Week 9 diversity (top‑k): mpd ≈ 0.3193; per‑dim std ≈ [0.031, 0.031, 0.043, 0.213], with most variation in x4.</w:t>
      </w:r>
    </w:p>
    <w:p>
      <w:pPr>
        <w:pStyle w:val="ListBullet"/>
      </w:pPr>
      <w:r>
        <w:t>Week 9 top‑5 probed lower x3 (≈0.03–0.14) and varied x4 (≈0.40–0.98) while keeping x1–x2 relatively tight—deliberate off‑ridge sensitivity checks.</w:t>
      </w:r>
    </w:p>
    <w:p>
      <w:r>
        <w:rPr>
          <w:b/>
        </w:rPr>
        <w:t>Comment on the Week 10 new query point</w:t>
      </w:r>
    </w:p>
    <w:p>
      <w:r>
        <w:t>The submitted point sits very close to the Week 9 incumbent region on the ridge (x3~0.99, x4~0.996) and delivered Y≈2591. While it did not surpass the Week 9 maximum, it confirms that the refined local‑search settings can still harvest high values without relying on PCA/SVM gating. The small step in x1/x2 suggests we are consolidating near the peak; maintain at least one candidate per batch that explores slightly broader in x2 to avoid premature stagnation.</w:t>
      </w:r>
    </w:p>
    <w:p>
      <w:r>
        <w:rPr>
          <w:b/>
        </w:rPr>
        <w:t>Recommendations for Week 11</w:t>
      </w:r>
    </w:p>
    <w:p>
      <w:pPr>
        <w:pStyle w:val="ListBullet"/>
      </w:pPr>
      <w:r>
        <w:t>Keep the tight trust‑region (≈0.005) for exploitation, but ensure one “ridge‑keeper” (x3∈[0.98,1.00], x4∈[0.96,1.00]) and one far global (Max–Min) survive gating each round.</w:t>
      </w:r>
    </w:p>
    <w:p>
      <w:pPr>
        <w:pStyle w:val="ListBullet"/>
      </w:pPr>
      <w:r>
        <w:t>Sustain n_global_factor≈3000 with geometric insurance; if top‑k begins to cluster, temporarily raise to ≈4000 to restore lateral breadth in x1/x2.</w:t>
      </w:r>
    </w:p>
    <w:p>
      <w:pPr>
        <w:pStyle w:val="ListBullet"/>
      </w:pPr>
      <w:r>
        <w:t>Leave SVM/feature screening off for F5 to prevent mis‑gating near the optimum; GP + standardize_y=True is sufficient.</w:t>
      </w:r>
    </w:p>
    <w:p>
      <w:pPr>
        <w:pStyle w:val="ListBullet"/>
      </w:pPr>
      <w:r>
        <w:t>If residuals around the ridge appear heavy‑tailed, prefer Matern ν=2.5 and slightly wider noise bounds to avoid overconfidence.</w:t>
      </w:r>
    </w:p>
    <w:p>
      <w:pPr>
        <w:pStyle w:val="ListBullet"/>
      </w:pPr>
      <w:r>
        <w:t>When practical, re‑inspect the EI/UCB histogram and pairplot each round; if EI mass collapses, broaden the candidate pool before ranking.</w:t>
      </w:r>
    </w:p>
    <w:p>
      <w:r>
        <w:rPr>
          <w:b/>
        </w:rPr>
        <w:t>Appendix — key numbers referenced</w:t>
      </w:r>
    </w:p>
    <w:p>
      <w:pPr>
        <w:pStyle w:val="ListBullet"/>
      </w:pPr>
      <w:r>
        <w:t>Week 10 — New observation: X = [0.810389, 0.395809, 0.988672, 0.995824]; Y ≈ 2590.7938.</w:t>
      </w:r>
    </w:p>
    <w:p>
      <w:pPr>
        <w:pStyle w:val="ListBullet"/>
      </w:pPr>
      <w:r>
        <w:t>Week 10 — Config cues: xi≈0.01; kappa≈2.5; n_global_factor≈3000; trust_radius_base≈0.005; SVM=OFF; PCA=OFF.</w:t>
      </w:r>
    </w:p>
    <w:p>
      <w:pPr>
        <w:pStyle w:val="ListBullet"/>
      </w:pPr>
      <w:r>
        <w:t>Week 9 — Best observed: Y ≈ 2881.36 at X ≈ [0.832212, 0.383312, 0.999999, 0.999999].</w:t>
      </w:r>
    </w:p>
    <w:p>
      <w:pPr>
        <w:pStyle w:val="ListBullet"/>
      </w:pPr>
      <w:r>
        <w:t>Week 9 — Diversity (top‑k): mpd ≈ 0.3193; per‑dim std ≈ [0.031, 0.031, 0.043, 0.213].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