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Function_6_Week_10_Analysis</w:t>
      </w:r>
    </w:p>
    <w:p>
      <w:r>
        <w:rPr>
          <w:b/>
        </w:rPr>
        <w:t>Executive summary</w:t>
      </w:r>
    </w:p>
    <w:p>
      <w:r>
        <w:t>Function 6 Week 10 under-performed relative to Week 9. The newly evaluated query returned a strongly negative outcome (Y ≈ −1.783), failing to improve on the prior positive best (≈ +1.5655). The batch was configured with GP-only (no PCA/SVM), a high global sampling budget (n_global_factor≈6000), a tight base trust radius (≈0.02), and an unusually high perturbation rate (≈0.6). This configuration skews toward broad global exploration and aggressive local jumps, which plausibly explains the regression in observed Y.</w:t>
      </w:r>
    </w:p>
    <w:p>
      <w:r>
        <w:rPr>
          <w:b/>
        </w:rPr>
        <w:t>What the Week 10 charts/logs show</w:t>
      </w:r>
    </w:p>
    <w:p>
      <w:pPr>
        <w:pStyle w:val="ListBullet"/>
      </w:pPr>
      <w:r>
        <w:t>New observation appended (D=5): X ≈ [0.227802, 0.032600, 0.911084, 0.986902, 0.865636]; Y ≈ −1.7829. Dataset sizes now about X∈R^{29×5}, Y∈R^{29}.</w:t>
      </w:r>
    </w:p>
    <w:p>
      <w:pPr>
        <w:pStyle w:val="ListBullet"/>
      </w:pPr>
      <w:r>
        <w:t>Surrogate &amp; preprocessing: Gaussian Process (ARD Matern + WhiteKernel), standardize_y=True; use_nn=False; use_pca=False; use_svm=False; feature screening OFF.</w:t>
      </w:r>
    </w:p>
    <w:p>
      <w:pPr>
        <w:pStyle w:val="ListBullet"/>
      </w:pPr>
      <w:r>
        <w:t>Acquisition/config cues: kappa≈3.5; xi≈0.03; n_global_factor≈6000; trust_radius_base≈0.02; n_trust_base≈80; sample_strategy="lhs"; perturb_rate_base≈0.6.</w:t>
      </w:r>
    </w:p>
    <w:p>
      <w:pPr>
        <w:pStyle w:val="ListBullet"/>
      </w:pPr>
      <w:r>
        <w:t>Diagnostics executed (EI/UCB histograms, diversity stats, ARD reporting), but exact diversity/ARD vectors are embedded in figures; the selection nevertheless kept at least one far global candidate (geometric insurance).</w:t>
      </w:r>
    </w:p>
    <w:p>
      <w:r>
        <w:rPr>
          <w:b/>
        </w:rPr>
        <w:t>Contrast with Week 9</w:t>
      </w:r>
    </w:p>
    <w:p>
      <w:pPr>
        <w:pStyle w:val="ListBullet"/>
      </w:pPr>
      <w:r>
        <w:t>Week 9 best observed: y_best ≈ +1.5655. EI was still targeted at 0, so EI values collapsed (~1e−13), misguiding selection toward low-value regions.</w:t>
      </w:r>
    </w:p>
    <w:p>
      <w:pPr>
        <w:pStyle w:val="ListBullet"/>
      </w:pPr>
      <w:r>
        <w:t>Week 9 top‑K diagnostics: top candidate had mu≈−1.134, std≈0.385, PI(y&gt;0)≈0.002 (indicative of off‑basin sampling).</w:t>
      </w:r>
    </w:p>
    <w:p>
      <w:pPr>
        <w:pStyle w:val="ListBullet"/>
      </w:pPr>
      <w:r>
        <w:t>Recommendations made for Week 10: switch to EI@(y_best); re‑enable SVM gating and ARD screening; moderate perturbation_rate_base to ≈0.25–0.35 and trust_radius_base to ≈0.03–0.04; use UCB with kappa≈2.0–2.5 and xi≈0.01; keep min_global≈2.</w:t>
      </w:r>
    </w:p>
    <w:p>
      <w:r>
        <w:rPr>
          <w:b/>
        </w:rPr>
        <w:t>Comment on the Week 10 new query point</w:t>
      </w:r>
    </w:p>
    <w:p>
      <w:r>
        <w:t>The Week 10 query landed in a low‑valued region (Y≈−1.783) despite a known positive basin from Week 9. The configuration—notably use_svm=False, feature_screen OFF, n_global_factor≈6000, and perturb_rate_base≈0.6—deviates from prior guidance and likely over‑emphasised global breadth and large local jumps. If EI was not retargeted to y_best, that would further dilute exploitation pressure near the positive basin. Overall, the new point does not challenge the incumbent and suggests re‑aligning acquisition and gating in Week 11.</w:t>
      </w:r>
    </w:p>
    <w:p>
      <w:r>
        <w:rPr>
          <w:b/>
        </w:rPr>
        <w:t>Recommendations for Week 11</w:t>
      </w:r>
    </w:p>
    <w:p>
      <w:pPr>
        <w:pStyle w:val="ListBullet"/>
      </w:pPr>
      <w:r>
        <w:t>Switch EI to target y_best (EI@(y_best)) and keep xi≈0.01; pair with UCB at kappa≈2.0–2.5 for stability.</w:t>
      </w:r>
    </w:p>
    <w:p>
      <w:pPr>
        <w:pStyle w:val="ListBullet"/>
      </w:pPr>
      <w:r>
        <w:t>Re‑enable SVM gating (rbf) with keep_frac≈0.5 and ARD screening (threshold≈0.15) to prune off‑basin candidates.</w:t>
      </w:r>
    </w:p>
    <w:p>
      <w:pPr>
        <w:pStyle w:val="ListBullet"/>
      </w:pPr>
      <w:r>
        <w:t>Moderate exploration knobs back toward: perturbation_rate_base≈0.25–0.35; trust_radius_base≈0.03–0.04; keep min_global≥2.</w:t>
      </w:r>
    </w:p>
    <w:p>
      <w:pPr>
        <w:pStyle w:val="ListBullet"/>
      </w:pPr>
      <w:r>
        <w:t>Maintain GP with standardize_y=True; if residuals are spiky, prefer Matern ν≈2.5 and slightly wider noise bounds.</w:t>
      </w:r>
    </w:p>
    <w:p>
      <w:pPr>
        <w:pStyle w:val="ListBullet"/>
      </w:pPr>
      <w:r>
        <w:t>Add explicit logging each cycle: y_best value, EI target, mpd and per‑dim std for the final top‑k.</w:t>
      </w:r>
    </w:p>
    <w:p>
      <w:r>
        <w:rPr>
          <w:b/>
        </w:rPr>
        <w:t>Appendix — key numbers referenced</w:t>
      </w:r>
    </w:p>
    <w:p>
      <w:pPr>
        <w:pStyle w:val="ListBullet"/>
      </w:pPr>
      <w:r>
        <w:t>Week 10 — New observation: X = [0.227802, 0.032600, 0.911084, 0.986902, 0.865636]; Y ≈ −1.7829.</w:t>
      </w:r>
    </w:p>
    <w:p>
      <w:pPr>
        <w:pStyle w:val="ListBullet"/>
      </w:pPr>
      <w:r>
        <w:t>Week 10 — Config cues: GP only; use_pca=False; use_svm=False; kappa≈3.5; xi≈0.03; n_global_factor≈6000; trust_radius_base≈0.02; sample_strategy="lhs"; perturb_rate_base≈0.6; n_trust_base≈80; shapes X≈(29,5), Y≈(29,).</w:t>
      </w:r>
    </w:p>
    <w:p>
      <w:pPr>
        <w:pStyle w:val="ListBullet"/>
      </w:pPr>
      <w:r>
        <w:t>Week 9 — y_best ≈ +1.5655; EI@0 caused EI collapse (~1e−13); top candidate mu≈−1.134, std≈0.385, PI(y&gt;0)≈0.002.</w:t>
      </w:r>
    </w:p>
    <w:p>
      <w:pPr>
        <w:pStyle w:val="ListBullet"/>
      </w:pPr>
      <w:r>
        <w:t>Week 9 — Recommendations: EI@(y_best), SVM+ARD ON; perturbation_rate_base≈0.25–0.35; trust_radius_base≈0.03–0.04; kappa≈2.0–2.5; xi≈0.01; min_global≈2.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