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Function_1_Week_7_Analysis</w:t>
      </w:r>
    </w:p>
    <w:p>
      <w:r>
        <w:br/>
        <w:t>Based on Week 6 analysis and Week 7 charts:</w:t>
        <w:br/>
        <w:t>- Week7 new query: [0.645282,0.964842], outcome ~0 (1.63e-79).</w:t>
        <w:br/>
        <w:t>- EI posterior in chart shows no strong peaks; model uncertain; landscape flat.</w:t>
        <w:br/>
        <w:t>- Week6 corridor shift justified; week7 continues exploration; still zero regime.</w:t>
        <w:br/>
        <w:t>- Strategy effective in exploring but hasn't found non-zero pocket.</w:t>
        <w:br/>
        <w:t>- Recommendation: broaden further, lower x2 or orthogonal probe; maintain global candidate.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