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Function_4_Week_7_Analysis</w:t>
      </w:r>
    </w:p>
    <w:p>
      <w:r>
        <w:br/>
        <w:t>Week 7 Analysis:</w:t>
        <w:br/>
        <w:t>Based on Week 6 analysis and structural patterns typical in BO workflows, the optimisation likely refined focus on dominant dimensions (x3,x4). Without explicit chart contents, we reference prior trends: EI concentration, reduced uncertainty, disciplined trust-region behavior. Week 7 new query point selection would follow similar logic targeting EI maxima.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