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Function_6_Week_7_Analysis</w:t>
      </w:r>
    </w:p>
    <w:p>
      <w:r>
        <w:br/>
        <w:t>Week 7 analysis based on charts (not directly available in html), using extracted data:</w:t>
        <w:br/>
        <w:t>New query point: [0.522123,0.366010,0.881428,0.769738,0.017771] with outcome -0.41018.</w:t>
        <w:br/>
        <w:t>Compared to week6 incumbent -0.455, this is slight improvement.</w:t>
        <w:br/>
        <w:t>Strategy effective in exploring high x3,x4 region with low x5.</w:t>
        <w:br/>
        <w:t>ARD shows x3,x4 dominate; SVM gating keeps diverse candidates.</w:t>
        <w:br/>
        <w:t>EI/UCB overlays likely show ridge consistent with wk6.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