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Function_7_Week_7_Analysis</w:t>
      </w:r>
    </w:p>
    <w:p>
      <w:r>
        <w:br/>
        <w:t>1. Summary of Week‑7 Inputs</w:t>
        <w:br/>
        <w:br/>
        <w:t>Query Point (x7): [0.046045, 0.155010, 0.587434, 0.120371, 0.454455, 0.895899]</w:t>
        <w:br/>
        <w:t>Observed Value (y7): 1.220792045918965</w:t>
        <w:br/>
        <w:br/>
        <w:t>2. Interpretation of Week‑7 Charts</w:t>
        <w:br/>
        <w:t>- Posterior mean indicates high ridge along x6; chosen point lies correctly on ridge.</w:t>
        <w:br/>
        <w:t>- EI/UCB maps show expected improvement concentrated on moderate x3 with high x6.</w:t>
        <w:br/>
        <w:t>- Pair plots show x6 and x3 remain dominant dimensions.</w:t>
        <w:br/>
        <w:br/>
        <w:t>3. Comparison with Week‑6 Strategy</w:t>
        <w:br/>
        <w:t>- Week‑7 point matches recommendations (high x6, x3~0.6).</w:t>
        <w:br/>
        <w:t>- Week‑7 improves from Week‑6 (1.22 vs 1.18) but remains below Week‑5 peak.</w:t>
        <w:br/>
        <w:br/>
        <w:t>4. Evaluation of Strategy Effectiveness</w:t>
        <w:br/>
        <w:t>- Strong alignment with optimal corridor.</w:t>
        <w:br/>
        <w:t>- Local improvement achieved.</w:t>
        <w:br/>
        <w:t>- EI narrowing suggests need for global exploration soon.</w:t>
        <w:br/>
        <w:br/>
        <w:t>5. Assessment of New Query Point</w:t>
        <w:br/>
        <w:t>- Geometrically consistent with ridge.</w:t>
        <w:br/>
        <w:t>- Outcome confirms rising slope but not global optimum.</w:t>
        <w:br/>
        <w:br/>
        <w:t>6. Recommendations for Week‑8</w:t>
        <w:br/>
        <w:t>- Push x3 to 0.60–0.70.</w:t>
        <w:br/>
        <w:t>- Keep x6 very high (0.90–0.98).</w:t>
        <w:br/>
        <w:t>- Add at least one global exploratory candidate.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