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Function_8_Week_7_Analysis</w:t>
      </w:r>
    </w:p>
    <w:p>
      <w:r>
        <w:br/>
        <w:t>1. Summary of Week 7 Inputs</w:t>
        <w:br/>
        <w:t>new_X=[0.118628,0.061722,0.097403,0.654891,0.977429,0.970259,0.097681,0.540808]</w:t>
        <w:br/>
        <w:t>new_Y=9.4752375979301</w:t>
        <w:br/>
        <w:br/>
        <w:t>2. Chart Interpretation</w:t>
        <w:br/>
        <w:t>- High x5,x6 region consistent with ridge from Week6.</w:t>
        <w:br/>
        <w:t>- Posterior mean indicates strong curvature in dims 4,5,6.</w:t>
        <w:br/>
        <w:t>- EI mass still centred on high-x5/low-x3 corridor.</w:t>
        <w:br/>
        <w:br/>
        <w:t>3. Comparison with Week6</w:t>
        <w:br/>
        <w:t>- Week6 Y≈9.79; Week7 lower at 9.47.</w:t>
        <w:br/>
        <w:t>- Strategy partially aligned but shifted x4, x6 higher without gain.</w:t>
        <w:br/>
        <w:br/>
        <w:t>4. Effectiveness</w:t>
        <w:br/>
        <w:t>- Local search remained on ridge but moved off optimum slice.</w:t>
        <w:br/>
        <w:t>- Still valuable for model refinement.</w:t>
        <w:br/>
        <w:br/>
        <w:t>5. Assessment of New Query Point</w:t>
        <w:br/>
        <w:t>- Strong in x5,x6 but x4 shift likely reduced outcome.</w:t>
        <w:br/>
        <w:br/>
        <w:t>6. Recommendations for Week8</w:t>
        <w:br/>
        <w:t>- Return to x5 0.97–0.99, x3 ~0.07 band.</w:t>
        <w:br/>
        <w:t>- Sweep x6 in 0.35–0.45 and 0.80+ bands.</w:t>
        <w:br/>
        <w:t>- Increase kappa slightly for global hedge.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