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Function_1_Week_8_Analysis</w:t>
      </w:r>
    </w:p>
    <w:p>
      <w:r>
        <w:t>Function 1 – Week 8 Analysis (Corrected Submission)</w:t>
      </w:r>
    </w:p>
    <w:p>
      <w:r>
        <w:t>## Correct Function 1 Query to Submit</w:t>
        <w:br/>
        <w:t>Based on the Week 8 Max–Min strategy output, the correct portal submission for Function 1 is:</w:t>
        <w:br/>
        <w:t>**0.001142 – 0.002684**</w:t>
      </w:r>
    </w:p>
    <w:p>
      <w:r>
        <w:t>This value appears explicitly in the notebook output under the ‘Portal’ line for Function 1 top‑1 and replaces the previously misinterpreted historical point.</w:t>
      </w:r>
    </w:p>
    <w:p>
      <w:r>
        <w:t>## 1. Overview</w:t>
        <w:br/>
        <w:t>Week 8 executed the Max–Min geometric exploration strategy, designed to overcome Gaussian Process collapse caused by near-zero outputs. This strategy selects points maximally distant from prior samples to re-expand the search space.</w:t>
      </w:r>
    </w:p>
    <w:p>
      <w:r>
        <w:t>## 2. Expected Diagnostic Criteria</w:t>
        <w:br/>
        <w:t>The strategy document defines success conditions: per‑dimension standard deviation ≥ 0.05 and mean pairwise distance ≥ 0.10. Week 8 exceeds these with ~0.39 per‑dim std and ~0.73 mean distance.</w:t>
      </w:r>
    </w:p>
    <w:p>
      <w:r>
        <w:t>## 3. Comparison to Week 7 Findings</w:t>
        <w:br/>
        <w:t>Week 7 reported continued GP flattening and no meaningful EI peaks, recommending broader exploration. The Max–Min method adopted in Week 8 directly resolves this by removing acquisition‑function dependency.</w:t>
      </w:r>
    </w:p>
    <w:p>
      <w:r>
        <w:t>## 4. Assessment of the Week 8 New Query</w:t>
        <w:br/>
        <w:t>The correct Week 8 portal query is 0.001142 – 0.002684, derived from Max–Min farthest‑point selection. It lies within the hard x₂ ≤ 0.80 bound and contributes strong global coverage.</w:t>
      </w:r>
    </w:p>
    <w:p>
      <w:r>
        <w:t>## 5. Diversity Diagnostics</w:t>
        <w:br/>
        <w:t>Week 8 diagnostics show wide dispersion, multiple PCA‑KMeans clusters, and high diversity metrics. EI/UCB remain flat, as expected under near‑zero Y values, but are no longer relied upon.</w:t>
      </w:r>
    </w:p>
    <w:p>
      <w:r>
        <w:t>## 6. Strategy Effectiveness</w:t>
        <w:br/>
        <w:t>The Max–Min approach proved effective by restoring exploration, bypassing GP collapse, and ensuring broad geometric sampling.</w:t>
      </w:r>
    </w:p>
    <w:p>
      <w:r>
        <w:t>## 7. Recommendations</w:t>
        <w:br/>
        <w:t>Continue Max–Min in Week 9, maintain x₂ ≤ 0.80, consider increased global candidate factor, and preserve k_final ≈ 5 for diversity.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